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style1.xml" ContentType="application/vnd.ms-office.chartstyle+xml"/>
  <Override PartName="/word/charts/chart1.xml" ContentType="application/vnd.openxmlformats-officedocument.drawingml.chart+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c="http://schemas.openxmlformats.org/drawingml/2006/chart" mc:Ignorable="w14 w15 w16se w16cid w16 w16cex w16sdtdh w16sdtfl w16du wp14">
  <w:body>
    <w:p w:rsidRPr="003C42E4" w:rsidR="00DC61E5" w:rsidP="003C42E4" w:rsidRDefault="003611AB" w14:paraId="415CD629" w14:textId="25E5E649">
      <w:pPr>
        <w:pStyle w:val="Heading1"/>
        <w:rPr>
          <w:sz w:val="52"/>
          <w:szCs w:val="52"/>
        </w:rPr>
      </w:pPr>
      <w:bookmarkStart w:name="_Toc200371340" w:id="0"/>
      <w:r w:rsidRPr="003C42E4">
        <w:rPr>
          <w:sz w:val="52"/>
          <w:szCs w:val="52"/>
        </w:rPr>
        <w:t>TLC Data</w:t>
      </w:r>
      <w:r w:rsidRPr="003C42E4" w:rsidR="00DC61E5">
        <w:rPr>
          <w:sz w:val="52"/>
          <w:szCs w:val="52"/>
        </w:rPr>
        <w:t xml:space="preserve"> Report </w:t>
      </w:r>
      <w:r w:rsidR="00FF3E21">
        <w:rPr>
          <w:sz w:val="52"/>
          <w:szCs w:val="52"/>
        </w:rPr>
        <w:t>by College</w:t>
      </w:r>
      <w:bookmarkEnd w:id="0"/>
    </w:p>
    <w:p w:rsidRPr="003C42E4" w:rsidR="003C42E4" w:rsidP="003C42E4" w:rsidRDefault="003611AB" w14:paraId="4057B920" w14:textId="621FC1D7">
      <w:pPr>
        <w:pStyle w:val="IntenseQuote"/>
      </w:pPr>
      <w:r w:rsidRPr="006F5F02">
        <w:t>Impact on Courses in 2023-2024</w:t>
      </w:r>
    </w:p>
    <w:tbl>
      <w:tblPr>
        <w:tblStyle w:val="GridTable4-Accent2"/>
        <w:tblW w:w="0" w:type="auto"/>
        <w:tblLook w:val="04A0" w:firstRow="1" w:lastRow="0" w:firstColumn="1" w:lastColumn="0" w:noHBand="0" w:noVBand="1"/>
      </w:tblPr>
      <w:tblGrid>
        <w:gridCol w:w="3330"/>
        <w:gridCol w:w="3230"/>
        <w:gridCol w:w="2790"/>
      </w:tblGrid>
      <w:tr w:rsidRPr="009D6B1E" w:rsidR="003611AB" w:rsidTr="003C42E4" w14:paraId="033AEBCA" w14:textId="38093E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rsidRPr="009D6B1E" w:rsidR="003611AB" w:rsidRDefault="003611AB" w14:paraId="5519A73B" w14:textId="33791B6C">
            <w:pPr>
              <w:rPr>
                <w:b w:val="0"/>
                <w:bCs w:val="0"/>
                <w:sz w:val="24"/>
                <w:szCs w:val="24"/>
              </w:rPr>
            </w:pPr>
            <w:r w:rsidRPr="009D6B1E">
              <w:rPr>
                <w:b w:val="0"/>
                <w:bCs w:val="0"/>
                <w:sz w:val="24"/>
                <w:szCs w:val="24"/>
              </w:rPr>
              <w:t>Program</w:t>
            </w:r>
          </w:p>
        </w:tc>
        <w:tc>
          <w:tcPr>
            <w:tcW w:w="3230" w:type="dxa"/>
          </w:tcPr>
          <w:p w:rsidRPr="009D6B1E" w:rsidR="003611AB" w:rsidRDefault="003611AB" w14:paraId="5431529B" w14:textId="5C0CA1E1">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9D6B1E">
              <w:rPr>
                <w:b w:val="0"/>
                <w:bCs w:val="0"/>
                <w:sz w:val="24"/>
                <w:szCs w:val="24"/>
              </w:rPr>
              <w:t>Number of Courses Impacted</w:t>
            </w:r>
          </w:p>
        </w:tc>
        <w:tc>
          <w:tcPr>
            <w:tcW w:w="2790" w:type="dxa"/>
          </w:tcPr>
          <w:p w:rsidRPr="009D6B1E" w:rsidR="003611AB" w:rsidRDefault="003611AB" w14:paraId="55C18DFA" w14:textId="6CB298F7">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9D6B1E">
              <w:rPr>
                <w:b w:val="0"/>
                <w:bCs w:val="0"/>
                <w:sz w:val="24"/>
                <w:szCs w:val="24"/>
              </w:rPr>
              <w:t>Estimated* Number of Students Impacted</w:t>
            </w:r>
          </w:p>
        </w:tc>
      </w:tr>
      <w:tr w:rsidRPr="009D6B1E" w:rsidR="003611AB" w:rsidTr="003C42E4" w14:paraId="1D745E3E" w14:textId="7D70A0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rsidRPr="009D6B1E" w:rsidR="003611AB" w:rsidRDefault="003611AB" w14:paraId="067451F1" w14:textId="70ED6DD0">
            <w:pPr>
              <w:rPr>
                <w:sz w:val="24"/>
                <w:szCs w:val="24"/>
              </w:rPr>
            </w:pPr>
            <w:r w:rsidRPr="009D6B1E">
              <w:rPr>
                <w:sz w:val="24"/>
                <w:szCs w:val="24"/>
              </w:rPr>
              <w:t>Teaching Innovation Grants</w:t>
            </w:r>
          </w:p>
        </w:tc>
        <w:tc>
          <w:tcPr>
            <w:tcW w:w="3230" w:type="dxa"/>
          </w:tcPr>
          <w:p w:rsidRPr="009D6B1E" w:rsidR="003611AB" w:rsidRDefault="003611AB" w14:paraId="37784ED0" w14:textId="6F338D9D">
            <w:pPr>
              <w:cnfStyle w:val="000000100000" w:firstRow="0" w:lastRow="0" w:firstColumn="0" w:lastColumn="0" w:oddVBand="0" w:evenVBand="0" w:oddHBand="1" w:evenHBand="0" w:firstRowFirstColumn="0" w:firstRowLastColumn="0" w:lastRowFirstColumn="0" w:lastRowLastColumn="0"/>
              <w:rPr>
                <w:sz w:val="24"/>
                <w:szCs w:val="24"/>
              </w:rPr>
            </w:pPr>
            <w:r w:rsidRPr="009D6B1E">
              <w:rPr>
                <w:sz w:val="24"/>
                <w:szCs w:val="24"/>
              </w:rPr>
              <w:t>741</w:t>
            </w:r>
          </w:p>
        </w:tc>
        <w:tc>
          <w:tcPr>
            <w:tcW w:w="2790" w:type="dxa"/>
          </w:tcPr>
          <w:p w:rsidRPr="009D6B1E" w:rsidR="003611AB" w:rsidRDefault="00C56C0E" w14:paraId="64CAA29F" w14:textId="686BFB68">
            <w:pPr>
              <w:cnfStyle w:val="000000100000" w:firstRow="0" w:lastRow="0" w:firstColumn="0" w:lastColumn="0" w:oddVBand="0" w:evenVBand="0" w:oddHBand="1" w:evenHBand="0" w:firstRowFirstColumn="0" w:firstRowLastColumn="0" w:lastRowFirstColumn="0" w:lastRowLastColumn="0"/>
              <w:rPr>
                <w:sz w:val="24"/>
                <w:szCs w:val="24"/>
              </w:rPr>
            </w:pPr>
            <w:r w:rsidRPr="009D6B1E">
              <w:rPr>
                <w:sz w:val="24"/>
                <w:szCs w:val="24"/>
              </w:rPr>
              <w:t>1,284</w:t>
            </w:r>
          </w:p>
        </w:tc>
      </w:tr>
      <w:tr w:rsidRPr="009D6B1E" w:rsidR="003611AB" w:rsidTr="003C42E4" w14:paraId="7E507294" w14:textId="4CCD904B">
        <w:tc>
          <w:tcPr>
            <w:cnfStyle w:val="001000000000" w:firstRow="0" w:lastRow="0" w:firstColumn="1" w:lastColumn="0" w:oddVBand="0" w:evenVBand="0" w:oddHBand="0" w:evenHBand="0" w:firstRowFirstColumn="0" w:firstRowLastColumn="0" w:lastRowFirstColumn="0" w:lastRowLastColumn="0"/>
            <w:tcW w:w="3330" w:type="dxa"/>
          </w:tcPr>
          <w:p w:rsidRPr="009D6B1E" w:rsidR="003611AB" w:rsidRDefault="003611AB" w14:paraId="14502F2B" w14:textId="7BD711BA">
            <w:pPr>
              <w:rPr>
                <w:sz w:val="24"/>
                <w:szCs w:val="24"/>
              </w:rPr>
            </w:pPr>
            <w:r w:rsidRPr="009D6B1E">
              <w:rPr>
                <w:sz w:val="24"/>
                <w:szCs w:val="24"/>
              </w:rPr>
              <w:t xml:space="preserve">Engaging Explorations </w:t>
            </w:r>
          </w:p>
        </w:tc>
        <w:tc>
          <w:tcPr>
            <w:tcW w:w="3230" w:type="dxa"/>
          </w:tcPr>
          <w:p w:rsidRPr="009D6B1E" w:rsidR="003611AB" w:rsidRDefault="003611AB" w14:paraId="632E3267" w14:textId="09167D47">
            <w:pPr>
              <w:cnfStyle w:val="000000000000" w:firstRow="0" w:lastRow="0" w:firstColumn="0" w:lastColumn="0" w:oddVBand="0" w:evenVBand="0" w:oddHBand="0" w:evenHBand="0" w:firstRowFirstColumn="0" w:firstRowLastColumn="0" w:lastRowFirstColumn="0" w:lastRowLastColumn="0"/>
              <w:rPr>
                <w:sz w:val="24"/>
                <w:szCs w:val="24"/>
              </w:rPr>
            </w:pPr>
            <w:r w:rsidRPr="009D6B1E">
              <w:rPr>
                <w:sz w:val="24"/>
                <w:szCs w:val="24"/>
              </w:rPr>
              <w:t>1,666</w:t>
            </w:r>
          </w:p>
        </w:tc>
        <w:tc>
          <w:tcPr>
            <w:tcW w:w="2790" w:type="dxa"/>
          </w:tcPr>
          <w:p w:rsidRPr="009D6B1E" w:rsidR="003611AB" w:rsidRDefault="00C56C0E" w14:paraId="0525619F" w14:textId="6BF4AEFF">
            <w:pPr>
              <w:cnfStyle w:val="000000000000" w:firstRow="0" w:lastRow="0" w:firstColumn="0" w:lastColumn="0" w:oddVBand="0" w:evenVBand="0" w:oddHBand="0" w:evenHBand="0" w:firstRowFirstColumn="0" w:firstRowLastColumn="0" w:lastRowFirstColumn="0" w:lastRowLastColumn="0"/>
              <w:rPr>
                <w:sz w:val="24"/>
                <w:szCs w:val="24"/>
              </w:rPr>
            </w:pPr>
            <w:r w:rsidRPr="009D6B1E">
              <w:rPr>
                <w:sz w:val="24"/>
                <w:szCs w:val="24"/>
              </w:rPr>
              <w:t>2,887</w:t>
            </w:r>
          </w:p>
        </w:tc>
      </w:tr>
      <w:tr w:rsidRPr="009D6B1E" w:rsidR="003611AB" w:rsidTr="003C42E4" w14:paraId="22433C5D" w14:textId="061EB2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rsidRPr="009D6B1E" w:rsidR="003611AB" w:rsidRDefault="003611AB" w14:paraId="77D958F8" w14:textId="2DD4006D">
            <w:pPr>
              <w:rPr>
                <w:sz w:val="24"/>
                <w:szCs w:val="24"/>
              </w:rPr>
            </w:pPr>
            <w:r w:rsidRPr="009D6B1E">
              <w:rPr>
                <w:sz w:val="24"/>
                <w:szCs w:val="24"/>
              </w:rPr>
              <w:t>ACUE</w:t>
            </w:r>
          </w:p>
        </w:tc>
        <w:tc>
          <w:tcPr>
            <w:tcW w:w="3230" w:type="dxa"/>
          </w:tcPr>
          <w:p w:rsidRPr="009D6B1E" w:rsidR="003611AB" w:rsidRDefault="003611AB" w14:paraId="68370838" w14:textId="6BD659F2">
            <w:pPr>
              <w:cnfStyle w:val="000000100000" w:firstRow="0" w:lastRow="0" w:firstColumn="0" w:lastColumn="0" w:oddVBand="0" w:evenVBand="0" w:oddHBand="1" w:evenHBand="0" w:firstRowFirstColumn="0" w:firstRowLastColumn="0" w:lastRowFirstColumn="0" w:lastRowLastColumn="0"/>
              <w:rPr>
                <w:sz w:val="24"/>
                <w:szCs w:val="24"/>
              </w:rPr>
            </w:pPr>
            <w:r w:rsidRPr="009D6B1E">
              <w:rPr>
                <w:sz w:val="24"/>
                <w:szCs w:val="24"/>
              </w:rPr>
              <w:t>1,254</w:t>
            </w:r>
          </w:p>
        </w:tc>
        <w:tc>
          <w:tcPr>
            <w:tcW w:w="2790" w:type="dxa"/>
          </w:tcPr>
          <w:p w:rsidRPr="009D6B1E" w:rsidR="003611AB" w:rsidRDefault="00C56C0E" w14:paraId="62A38921" w14:textId="7BD381FA">
            <w:pPr>
              <w:cnfStyle w:val="000000100000" w:firstRow="0" w:lastRow="0" w:firstColumn="0" w:lastColumn="0" w:oddVBand="0" w:evenVBand="0" w:oddHBand="1" w:evenHBand="0" w:firstRowFirstColumn="0" w:firstRowLastColumn="0" w:lastRowFirstColumn="0" w:lastRowLastColumn="0"/>
              <w:rPr>
                <w:sz w:val="24"/>
                <w:szCs w:val="24"/>
              </w:rPr>
            </w:pPr>
            <w:r w:rsidRPr="009D6B1E">
              <w:rPr>
                <w:sz w:val="24"/>
                <w:szCs w:val="24"/>
              </w:rPr>
              <w:t>2,173</w:t>
            </w:r>
          </w:p>
        </w:tc>
      </w:tr>
      <w:tr w:rsidRPr="009D6B1E" w:rsidR="003611AB" w:rsidTr="003C42E4" w14:paraId="21851A03" w14:textId="36D0903B">
        <w:tc>
          <w:tcPr>
            <w:cnfStyle w:val="001000000000" w:firstRow="0" w:lastRow="0" w:firstColumn="1" w:lastColumn="0" w:oddVBand="0" w:evenVBand="0" w:oddHBand="0" w:evenHBand="0" w:firstRowFirstColumn="0" w:firstRowLastColumn="0" w:lastRowFirstColumn="0" w:lastRowLastColumn="0"/>
            <w:tcW w:w="3330" w:type="dxa"/>
          </w:tcPr>
          <w:p w:rsidRPr="009D6B1E" w:rsidR="003611AB" w:rsidRDefault="003611AB" w14:paraId="6F489DCF" w14:textId="5AF43E4D">
            <w:pPr>
              <w:rPr>
                <w:sz w:val="24"/>
                <w:szCs w:val="24"/>
              </w:rPr>
            </w:pPr>
            <w:r w:rsidRPr="009D6B1E">
              <w:rPr>
                <w:sz w:val="24"/>
                <w:szCs w:val="24"/>
              </w:rPr>
              <w:t>Mini Engaging Explorations</w:t>
            </w:r>
          </w:p>
        </w:tc>
        <w:tc>
          <w:tcPr>
            <w:tcW w:w="3230" w:type="dxa"/>
          </w:tcPr>
          <w:p w:rsidRPr="009D6B1E" w:rsidR="003611AB" w:rsidRDefault="003611AB" w14:paraId="4FDB0CC1" w14:textId="7E70C2A3">
            <w:pPr>
              <w:cnfStyle w:val="000000000000" w:firstRow="0" w:lastRow="0" w:firstColumn="0" w:lastColumn="0" w:oddVBand="0" w:evenVBand="0" w:oddHBand="0" w:evenHBand="0" w:firstRowFirstColumn="0" w:firstRowLastColumn="0" w:lastRowFirstColumn="0" w:lastRowLastColumn="0"/>
              <w:rPr>
                <w:sz w:val="24"/>
                <w:szCs w:val="24"/>
              </w:rPr>
            </w:pPr>
            <w:r w:rsidRPr="009D6B1E">
              <w:rPr>
                <w:sz w:val="24"/>
                <w:szCs w:val="24"/>
              </w:rPr>
              <w:t>664</w:t>
            </w:r>
          </w:p>
        </w:tc>
        <w:tc>
          <w:tcPr>
            <w:tcW w:w="2790" w:type="dxa"/>
          </w:tcPr>
          <w:p w:rsidRPr="009D6B1E" w:rsidR="003611AB" w:rsidRDefault="00C56C0E" w14:paraId="7A39E7B8" w14:textId="1A4472A6">
            <w:pPr>
              <w:cnfStyle w:val="000000000000" w:firstRow="0" w:lastRow="0" w:firstColumn="0" w:lastColumn="0" w:oddVBand="0" w:evenVBand="0" w:oddHBand="0" w:evenHBand="0" w:firstRowFirstColumn="0" w:firstRowLastColumn="0" w:lastRowFirstColumn="0" w:lastRowLastColumn="0"/>
              <w:rPr>
                <w:sz w:val="24"/>
                <w:szCs w:val="24"/>
              </w:rPr>
            </w:pPr>
            <w:r w:rsidRPr="009D6B1E">
              <w:rPr>
                <w:sz w:val="24"/>
                <w:szCs w:val="24"/>
              </w:rPr>
              <w:t>1,150</w:t>
            </w:r>
          </w:p>
        </w:tc>
      </w:tr>
    </w:tbl>
    <w:p w:rsidR="00AC69DB" w:rsidRDefault="003611AB" w14:paraId="03DEAF96" w14:textId="1012B6AE">
      <w:pPr>
        <w:rPr>
          <w:sz w:val="18"/>
          <w:szCs w:val="18"/>
        </w:rPr>
      </w:pPr>
      <w:r w:rsidRPr="00077EF6">
        <w:rPr>
          <w:sz w:val="18"/>
          <w:szCs w:val="18"/>
        </w:rPr>
        <w:t>*</w:t>
      </w:r>
      <w:r w:rsidRPr="00077EF6" w:rsidR="00C56C0E">
        <w:rPr>
          <w:sz w:val="18"/>
          <w:szCs w:val="18"/>
        </w:rPr>
        <w:t>[</w:t>
      </w:r>
      <w:r w:rsidRPr="00077EF6">
        <w:rPr>
          <w:sz w:val="18"/>
          <w:szCs w:val="18"/>
        </w:rPr>
        <w:t>Average number of students (26) / Average Number of Courses Students Take (5)</w:t>
      </w:r>
      <w:r w:rsidRPr="00077EF6" w:rsidR="00C56C0E">
        <w:rPr>
          <w:sz w:val="18"/>
          <w:szCs w:val="18"/>
        </w:rPr>
        <w:t>] / Number of Semesters (3)</w:t>
      </w:r>
    </w:p>
    <w:p w:rsidRPr="00F24FAC" w:rsidR="00DC04C3" w:rsidP="001A2FAE" w:rsidRDefault="00DC04C3" w14:paraId="1A81BCC9" w14:textId="04D7861E">
      <w:pPr>
        <w:pStyle w:val="Heading2"/>
      </w:pPr>
      <w:bookmarkStart w:name="_Toc200371341" w:id="1"/>
      <w:r w:rsidRPr="00F24FAC">
        <w:t>Executive Summary: ACUE, EE, and TIG Impact Analyses</w:t>
      </w:r>
      <w:r w:rsidR="001A2FAE">
        <w:t xml:space="preserve"> BY college</w:t>
      </w:r>
      <w:bookmarkEnd w:id="1"/>
    </w:p>
    <w:p w:rsidRPr="00F24FAC" w:rsidR="00DC04C3" w:rsidP="001A2FAE" w:rsidRDefault="00DC04C3" w14:paraId="7E3431C0" w14:textId="77777777">
      <w:pPr>
        <w:spacing w:line="240" w:lineRule="auto"/>
        <w:rPr>
          <w:sz w:val="22"/>
          <w:szCs w:val="22"/>
        </w:rPr>
      </w:pPr>
      <w:r w:rsidRPr="00F24FAC">
        <w:rPr>
          <w:sz w:val="22"/>
          <w:szCs w:val="22"/>
        </w:rPr>
        <w:t>This report presents the findings of impact analyses for three faculty development initiatives: the Association of College and University Educators (ACUE) program, the Engaging Explorations (EE) initiative, and the Teaching Innovation Grant (TIG) program. Each initiative was evaluated using propensity score matching (PSM) and multivariate statistical techniques, including MANOVA, to assess outcomes related to student response rates (DFQ Rate) and teaching effectiveness (Excellent Teacher ratings). Key findings are summarized below.</w:t>
      </w:r>
    </w:p>
    <w:p w:rsidRPr="00F24FAC" w:rsidR="00DC04C3" w:rsidP="001A2FAE" w:rsidRDefault="00DC04C3" w14:paraId="33657E93" w14:textId="77777777">
      <w:pPr>
        <w:spacing w:line="240" w:lineRule="auto"/>
        <w:rPr>
          <w:b/>
          <w:bCs/>
          <w:sz w:val="22"/>
          <w:szCs w:val="22"/>
        </w:rPr>
      </w:pPr>
      <w:r w:rsidRPr="00F24FAC">
        <w:rPr>
          <w:b/>
          <w:bCs/>
          <w:sz w:val="22"/>
          <w:szCs w:val="22"/>
        </w:rPr>
        <w:t>ACUE Impact</w:t>
      </w:r>
    </w:p>
    <w:p w:rsidRPr="00F24FAC" w:rsidR="00DC04C3" w:rsidP="001A2FAE" w:rsidRDefault="00DC04C3" w14:paraId="57B58F90" w14:textId="77777777">
      <w:pPr>
        <w:numPr>
          <w:ilvl w:val="0"/>
          <w:numId w:val="1"/>
        </w:numPr>
        <w:spacing w:line="240" w:lineRule="auto"/>
        <w:rPr>
          <w:sz w:val="22"/>
          <w:szCs w:val="22"/>
        </w:rPr>
      </w:pPr>
      <w:r w:rsidRPr="00F24FAC">
        <w:rPr>
          <w:b/>
          <w:bCs/>
          <w:sz w:val="22"/>
          <w:szCs w:val="22"/>
        </w:rPr>
        <w:t>Matching &amp; Methodology:</w:t>
      </w:r>
      <w:r w:rsidRPr="00F24FAC">
        <w:rPr>
          <w:sz w:val="22"/>
          <w:szCs w:val="22"/>
        </w:rPr>
        <w:t xml:space="preserve"> ACUE and non-ACUE faculty were matched based on department, race, gender, and course enrollment (caliper = 0.05).</w:t>
      </w:r>
    </w:p>
    <w:p w:rsidRPr="00F24FAC" w:rsidR="00DC04C3" w:rsidP="001A2FAE" w:rsidRDefault="00DC04C3" w14:paraId="6B51700F" w14:textId="77777777">
      <w:pPr>
        <w:numPr>
          <w:ilvl w:val="0"/>
          <w:numId w:val="1"/>
        </w:numPr>
        <w:spacing w:line="240" w:lineRule="auto"/>
        <w:rPr>
          <w:sz w:val="22"/>
          <w:szCs w:val="22"/>
        </w:rPr>
      </w:pPr>
      <w:r w:rsidRPr="00F24FAC">
        <w:rPr>
          <w:b/>
          <w:bCs/>
          <w:sz w:val="22"/>
          <w:szCs w:val="22"/>
        </w:rPr>
        <w:t>DFQ Rate:</w:t>
      </w:r>
      <w:r w:rsidRPr="00F24FAC">
        <w:rPr>
          <w:sz w:val="22"/>
          <w:szCs w:val="22"/>
        </w:rPr>
        <w:t xml:space="preserve"> ACUE-trained instructors had lower average DFQ rates (M = 12.12%) compared to their non-ACUE peers (M = 14.98%), with this trend holding across all colleges except Health Sciences.</w:t>
      </w:r>
    </w:p>
    <w:p w:rsidRPr="00F24FAC" w:rsidR="00DC04C3" w:rsidP="001A2FAE" w:rsidRDefault="00DC04C3" w14:paraId="2E44ED1B" w14:textId="77777777">
      <w:pPr>
        <w:numPr>
          <w:ilvl w:val="0"/>
          <w:numId w:val="1"/>
        </w:numPr>
        <w:spacing w:line="240" w:lineRule="auto"/>
        <w:rPr>
          <w:sz w:val="22"/>
          <w:szCs w:val="22"/>
        </w:rPr>
      </w:pPr>
      <w:r w:rsidRPr="00F24FAC">
        <w:rPr>
          <w:b/>
          <w:bCs/>
          <w:sz w:val="22"/>
          <w:szCs w:val="22"/>
        </w:rPr>
        <w:t>Excellent Teacher Ratings:</w:t>
      </w:r>
      <w:r w:rsidRPr="00F24FAC">
        <w:rPr>
          <w:sz w:val="22"/>
          <w:szCs w:val="22"/>
        </w:rPr>
        <w:t xml:space="preserve"> ACUE instructors received higher student ratings (M = 4.43 vs. 4.29), with notable gains in Science and Engineering Technology, Education, and Arts and Media.</w:t>
      </w:r>
    </w:p>
    <w:p w:rsidRPr="00F24FAC" w:rsidR="00DC04C3" w:rsidP="001A2FAE" w:rsidRDefault="00DC04C3" w14:paraId="2548EFD0" w14:textId="77777777">
      <w:pPr>
        <w:numPr>
          <w:ilvl w:val="0"/>
          <w:numId w:val="1"/>
        </w:numPr>
        <w:spacing w:line="240" w:lineRule="auto"/>
        <w:rPr>
          <w:sz w:val="22"/>
          <w:szCs w:val="22"/>
        </w:rPr>
      </w:pPr>
      <w:r w:rsidRPr="00F24FAC">
        <w:rPr>
          <w:b/>
          <w:bCs/>
          <w:sz w:val="22"/>
          <w:szCs w:val="22"/>
        </w:rPr>
        <w:t>Statistical Analysis:</w:t>
      </w:r>
    </w:p>
    <w:p w:rsidRPr="00F24FAC" w:rsidR="00DC04C3" w:rsidP="001A2FAE" w:rsidRDefault="00DC04C3" w14:paraId="7A24D194" w14:textId="77777777">
      <w:pPr>
        <w:numPr>
          <w:ilvl w:val="1"/>
          <w:numId w:val="1"/>
        </w:numPr>
        <w:spacing w:line="240" w:lineRule="auto"/>
        <w:rPr>
          <w:sz w:val="22"/>
          <w:szCs w:val="22"/>
        </w:rPr>
      </w:pPr>
      <w:r w:rsidRPr="00F24FAC">
        <w:rPr>
          <w:b/>
          <w:bCs/>
          <w:sz w:val="22"/>
          <w:szCs w:val="22"/>
        </w:rPr>
        <w:t>MANOVA</w:t>
      </w:r>
      <w:r w:rsidRPr="00F24FAC">
        <w:rPr>
          <w:sz w:val="22"/>
          <w:szCs w:val="22"/>
        </w:rPr>
        <w:t xml:space="preserve"> confirmed significant effects of College (Wilks’ Λ = .855, </w:t>
      </w:r>
      <w:r w:rsidRPr="00F24FAC">
        <w:rPr>
          <w:i/>
          <w:iCs/>
          <w:sz w:val="22"/>
          <w:szCs w:val="22"/>
        </w:rPr>
        <w:t>p</w:t>
      </w:r>
      <w:r w:rsidRPr="00F24FAC">
        <w:rPr>
          <w:sz w:val="22"/>
          <w:szCs w:val="22"/>
        </w:rPr>
        <w:t xml:space="preserve"> &lt; .001, η² = .075), ACUE participation (Λ = .990, </w:t>
      </w:r>
      <w:r w:rsidRPr="00F24FAC">
        <w:rPr>
          <w:i/>
          <w:iCs/>
          <w:sz w:val="22"/>
          <w:szCs w:val="22"/>
        </w:rPr>
        <w:t>p</w:t>
      </w:r>
      <w:r w:rsidRPr="00F24FAC">
        <w:rPr>
          <w:sz w:val="22"/>
          <w:szCs w:val="22"/>
        </w:rPr>
        <w:t xml:space="preserve"> &lt; .001, η² = .01), and their interaction (Λ = .979, </w:t>
      </w:r>
      <w:r w:rsidRPr="00F24FAC">
        <w:rPr>
          <w:i/>
          <w:iCs/>
          <w:sz w:val="22"/>
          <w:szCs w:val="22"/>
        </w:rPr>
        <w:t>p</w:t>
      </w:r>
      <w:r w:rsidRPr="00F24FAC">
        <w:rPr>
          <w:sz w:val="22"/>
          <w:szCs w:val="22"/>
        </w:rPr>
        <w:t xml:space="preserve"> &lt; .001, η² = .011).</w:t>
      </w:r>
    </w:p>
    <w:p w:rsidRPr="00F24FAC" w:rsidR="00DC04C3" w:rsidP="001A2FAE" w:rsidRDefault="00DC04C3" w14:paraId="718924DB" w14:textId="77777777">
      <w:pPr>
        <w:numPr>
          <w:ilvl w:val="1"/>
          <w:numId w:val="1"/>
        </w:numPr>
        <w:spacing w:line="240" w:lineRule="auto"/>
        <w:rPr>
          <w:sz w:val="22"/>
          <w:szCs w:val="22"/>
        </w:rPr>
      </w:pPr>
      <w:r w:rsidRPr="00F24FAC">
        <w:rPr>
          <w:sz w:val="22"/>
          <w:szCs w:val="22"/>
        </w:rPr>
        <w:t>Univariate tests showed ACUE had small but significant effects on both DFQ Rate (</w:t>
      </w:r>
      <w:r w:rsidRPr="00F24FAC">
        <w:rPr>
          <w:i/>
          <w:iCs/>
          <w:sz w:val="22"/>
          <w:szCs w:val="22"/>
        </w:rPr>
        <w:t>p</w:t>
      </w:r>
      <w:r w:rsidRPr="00F24FAC">
        <w:rPr>
          <w:sz w:val="22"/>
          <w:szCs w:val="22"/>
        </w:rPr>
        <w:t xml:space="preserve"> = .005, η² = .003) and Excellent Teacher ratings (</w:t>
      </w:r>
      <w:r w:rsidRPr="00F24FAC">
        <w:rPr>
          <w:i/>
          <w:iCs/>
          <w:sz w:val="22"/>
          <w:szCs w:val="22"/>
        </w:rPr>
        <w:t>p</w:t>
      </w:r>
      <w:r w:rsidRPr="00F24FAC">
        <w:rPr>
          <w:sz w:val="22"/>
          <w:szCs w:val="22"/>
        </w:rPr>
        <w:t xml:space="preserve"> &lt; .001, η² = .010).</w:t>
      </w:r>
    </w:p>
    <w:p w:rsidR="00F92848" w:rsidP="001A2FAE" w:rsidRDefault="00F92848" w14:paraId="09FD52CC" w14:textId="77777777">
      <w:pPr>
        <w:spacing w:line="240" w:lineRule="auto"/>
        <w:rPr>
          <w:b/>
          <w:bCs/>
          <w:sz w:val="22"/>
          <w:szCs w:val="22"/>
        </w:rPr>
      </w:pPr>
    </w:p>
    <w:p w:rsidRPr="00F24FAC" w:rsidR="00DC04C3" w:rsidP="001A2FAE" w:rsidRDefault="00DC04C3" w14:paraId="3557DCC5" w14:textId="21FD3595">
      <w:pPr>
        <w:spacing w:line="240" w:lineRule="auto"/>
        <w:rPr>
          <w:b/>
          <w:bCs/>
          <w:sz w:val="22"/>
          <w:szCs w:val="22"/>
        </w:rPr>
      </w:pPr>
      <w:r w:rsidRPr="00F24FAC">
        <w:rPr>
          <w:b/>
          <w:bCs/>
          <w:sz w:val="22"/>
          <w:szCs w:val="22"/>
        </w:rPr>
        <w:lastRenderedPageBreak/>
        <w:t>Engaging Explorations (EE) Impact</w:t>
      </w:r>
    </w:p>
    <w:p w:rsidRPr="00F24FAC" w:rsidR="00DC04C3" w:rsidP="001A2FAE" w:rsidRDefault="00DC04C3" w14:paraId="06BD4B1C" w14:textId="77777777">
      <w:pPr>
        <w:numPr>
          <w:ilvl w:val="0"/>
          <w:numId w:val="2"/>
        </w:numPr>
        <w:spacing w:line="240" w:lineRule="auto"/>
        <w:rPr>
          <w:sz w:val="22"/>
          <w:szCs w:val="22"/>
        </w:rPr>
      </w:pPr>
      <w:r w:rsidRPr="00F24FAC">
        <w:rPr>
          <w:b/>
          <w:bCs/>
          <w:sz w:val="22"/>
          <w:szCs w:val="22"/>
        </w:rPr>
        <w:t>Matching &amp; Methodology:</w:t>
      </w:r>
      <w:r w:rsidRPr="00F24FAC">
        <w:rPr>
          <w:sz w:val="22"/>
          <w:szCs w:val="22"/>
        </w:rPr>
        <w:t xml:space="preserve"> EE and non-EE courses were matched using similar PSM procedures (caliper = 0.05).</w:t>
      </w:r>
    </w:p>
    <w:p w:rsidRPr="00F24FAC" w:rsidR="00DC04C3" w:rsidP="001A2FAE" w:rsidRDefault="00DC04C3" w14:paraId="26F726F9" w14:textId="77777777">
      <w:pPr>
        <w:numPr>
          <w:ilvl w:val="0"/>
          <w:numId w:val="2"/>
        </w:numPr>
        <w:spacing w:line="240" w:lineRule="auto"/>
        <w:rPr>
          <w:sz w:val="22"/>
          <w:szCs w:val="22"/>
        </w:rPr>
      </w:pPr>
      <w:r w:rsidRPr="00F24FAC">
        <w:rPr>
          <w:b/>
          <w:bCs/>
          <w:sz w:val="22"/>
          <w:szCs w:val="22"/>
        </w:rPr>
        <w:t>DFQ Rate:</w:t>
      </w:r>
      <w:r w:rsidRPr="00F24FAC">
        <w:rPr>
          <w:sz w:val="22"/>
          <w:szCs w:val="22"/>
        </w:rPr>
        <w:t xml:space="preserve"> EE courses showed consistently lower DFQ rates across colleges, with the largest decline in the College of Criminal Justice (from 10.23% to 3.28%).</w:t>
      </w:r>
    </w:p>
    <w:p w:rsidRPr="00F24FAC" w:rsidR="00DC04C3" w:rsidP="001A2FAE" w:rsidRDefault="00DC04C3" w14:paraId="729EE1F7" w14:textId="77777777">
      <w:pPr>
        <w:numPr>
          <w:ilvl w:val="0"/>
          <w:numId w:val="2"/>
        </w:numPr>
        <w:spacing w:line="240" w:lineRule="auto"/>
        <w:rPr>
          <w:sz w:val="22"/>
          <w:szCs w:val="22"/>
        </w:rPr>
      </w:pPr>
      <w:r w:rsidRPr="00F24FAC">
        <w:rPr>
          <w:b/>
          <w:bCs/>
          <w:sz w:val="22"/>
          <w:szCs w:val="22"/>
        </w:rPr>
        <w:t>Excellent Teacher Ratings:</w:t>
      </w:r>
      <w:r w:rsidRPr="00F24FAC">
        <w:rPr>
          <w:sz w:val="22"/>
          <w:szCs w:val="22"/>
        </w:rPr>
        <w:t xml:space="preserve"> EE faculty were rated slightly higher, especially in Criminal Justice (M = 4.61 vs. 4.35) and Education.</w:t>
      </w:r>
    </w:p>
    <w:p w:rsidRPr="00F24FAC" w:rsidR="00DC04C3" w:rsidP="001A2FAE" w:rsidRDefault="00DC04C3" w14:paraId="544FB3D2" w14:textId="77777777">
      <w:pPr>
        <w:numPr>
          <w:ilvl w:val="0"/>
          <w:numId w:val="2"/>
        </w:numPr>
        <w:spacing w:line="240" w:lineRule="auto"/>
        <w:rPr>
          <w:sz w:val="22"/>
          <w:szCs w:val="22"/>
        </w:rPr>
      </w:pPr>
      <w:r w:rsidRPr="00F24FAC">
        <w:rPr>
          <w:b/>
          <w:bCs/>
          <w:sz w:val="22"/>
          <w:szCs w:val="22"/>
        </w:rPr>
        <w:t>Statistical Analysis:</w:t>
      </w:r>
    </w:p>
    <w:p w:rsidRPr="00F24FAC" w:rsidR="00DC04C3" w:rsidP="001A2FAE" w:rsidRDefault="00DC04C3" w14:paraId="10B25922" w14:textId="77777777">
      <w:pPr>
        <w:numPr>
          <w:ilvl w:val="1"/>
          <w:numId w:val="2"/>
        </w:numPr>
        <w:spacing w:line="240" w:lineRule="auto"/>
        <w:rPr>
          <w:sz w:val="22"/>
          <w:szCs w:val="22"/>
        </w:rPr>
      </w:pPr>
      <w:r w:rsidRPr="00F24FAC">
        <w:rPr>
          <w:b/>
          <w:bCs/>
          <w:sz w:val="22"/>
          <w:szCs w:val="22"/>
        </w:rPr>
        <w:t>MANOVA</w:t>
      </w:r>
      <w:r w:rsidRPr="00F24FAC">
        <w:rPr>
          <w:sz w:val="22"/>
          <w:szCs w:val="22"/>
        </w:rPr>
        <w:t xml:space="preserve"> showed significant effects for EE (F = 10.73, </w:t>
      </w:r>
      <w:r w:rsidRPr="00F24FAC">
        <w:rPr>
          <w:i/>
          <w:iCs/>
          <w:sz w:val="22"/>
          <w:szCs w:val="22"/>
        </w:rPr>
        <w:t>p</w:t>
      </w:r>
      <w:r w:rsidRPr="00F24FAC">
        <w:rPr>
          <w:sz w:val="22"/>
          <w:szCs w:val="22"/>
        </w:rPr>
        <w:t xml:space="preserve"> &lt; .001, η² = .007), College (F = 55.21, </w:t>
      </w:r>
      <w:r w:rsidRPr="00F24FAC">
        <w:rPr>
          <w:i/>
          <w:iCs/>
          <w:sz w:val="22"/>
          <w:szCs w:val="22"/>
        </w:rPr>
        <w:t>p</w:t>
      </w:r>
      <w:r w:rsidRPr="00F24FAC">
        <w:rPr>
          <w:sz w:val="22"/>
          <w:szCs w:val="22"/>
        </w:rPr>
        <w:t xml:space="preserve"> &lt; .001, η² = .093), and their interaction (F = 2.62, </w:t>
      </w:r>
      <w:r w:rsidRPr="00F24FAC">
        <w:rPr>
          <w:i/>
          <w:iCs/>
          <w:sz w:val="22"/>
          <w:szCs w:val="22"/>
        </w:rPr>
        <w:t>p</w:t>
      </w:r>
      <w:r w:rsidRPr="00F24FAC">
        <w:rPr>
          <w:sz w:val="22"/>
          <w:szCs w:val="22"/>
        </w:rPr>
        <w:t xml:space="preserve"> = .002, η² = .005).</w:t>
      </w:r>
    </w:p>
    <w:p w:rsidRPr="00F24FAC" w:rsidR="00DC04C3" w:rsidP="001A2FAE" w:rsidRDefault="00DC04C3" w14:paraId="251218A9" w14:textId="77777777">
      <w:pPr>
        <w:numPr>
          <w:ilvl w:val="1"/>
          <w:numId w:val="2"/>
        </w:numPr>
        <w:spacing w:line="240" w:lineRule="auto"/>
        <w:rPr>
          <w:sz w:val="22"/>
          <w:szCs w:val="22"/>
        </w:rPr>
      </w:pPr>
      <w:r w:rsidRPr="00F24FAC">
        <w:rPr>
          <w:sz w:val="22"/>
          <w:szCs w:val="22"/>
        </w:rPr>
        <w:t>Univariate tests indicated significant effects of EE on DFQ Rate (</w:t>
      </w:r>
      <w:r w:rsidRPr="00F24FAC">
        <w:rPr>
          <w:i/>
          <w:iCs/>
          <w:sz w:val="22"/>
          <w:szCs w:val="22"/>
        </w:rPr>
        <w:t>p</w:t>
      </w:r>
      <w:r w:rsidRPr="00F24FAC">
        <w:rPr>
          <w:sz w:val="22"/>
          <w:szCs w:val="22"/>
        </w:rPr>
        <w:t xml:space="preserve"> &lt; .001, η² = .005) and Excellent Teacher (</w:t>
      </w:r>
      <w:r w:rsidRPr="00F24FAC">
        <w:rPr>
          <w:i/>
          <w:iCs/>
          <w:sz w:val="22"/>
          <w:szCs w:val="22"/>
        </w:rPr>
        <w:t>p</w:t>
      </w:r>
      <w:r w:rsidRPr="00F24FAC">
        <w:rPr>
          <w:sz w:val="22"/>
          <w:szCs w:val="22"/>
        </w:rPr>
        <w:t xml:space="preserve"> = .002, η² = .003). College affiliation accounted for greater variance in both outcomes.</w:t>
      </w:r>
    </w:p>
    <w:p w:rsidRPr="00F24FAC" w:rsidR="00DC04C3" w:rsidP="001A2FAE" w:rsidRDefault="00DC04C3" w14:paraId="4248E4C9" w14:textId="77777777">
      <w:pPr>
        <w:spacing w:line="240" w:lineRule="auto"/>
        <w:rPr>
          <w:b/>
          <w:bCs/>
          <w:sz w:val="22"/>
          <w:szCs w:val="22"/>
        </w:rPr>
      </w:pPr>
      <w:r w:rsidRPr="00F24FAC">
        <w:rPr>
          <w:b/>
          <w:bCs/>
          <w:sz w:val="22"/>
          <w:szCs w:val="22"/>
        </w:rPr>
        <w:t>Teaching Innovation Grant (TIG) Impact</w:t>
      </w:r>
    </w:p>
    <w:p w:rsidRPr="00F24FAC" w:rsidR="00DC04C3" w:rsidP="001A2FAE" w:rsidRDefault="00DC04C3" w14:paraId="017DC140" w14:textId="77777777">
      <w:pPr>
        <w:numPr>
          <w:ilvl w:val="0"/>
          <w:numId w:val="3"/>
        </w:numPr>
        <w:spacing w:line="240" w:lineRule="auto"/>
        <w:rPr>
          <w:sz w:val="22"/>
          <w:szCs w:val="22"/>
        </w:rPr>
      </w:pPr>
      <w:r w:rsidRPr="00F24FAC">
        <w:rPr>
          <w:b/>
          <w:bCs/>
          <w:sz w:val="22"/>
          <w:szCs w:val="22"/>
        </w:rPr>
        <w:t>Descriptive Trends:</w:t>
      </w:r>
    </w:p>
    <w:p w:rsidRPr="00F24FAC" w:rsidR="00DC04C3" w:rsidP="001A2FAE" w:rsidRDefault="00DC04C3" w14:paraId="506B59A3" w14:textId="61BE1EAD">
      <w:pPr>
        <w:numPr>
          <w:ilvl w:val="1"/>
          <w:numId w:val="3"/>
        </w:numPr>
        <w:spacing w:line="240" w:lineRule="auto"/>
        <w:rPr>
          <w:sz w:val="22"/>
          <w:szCs w:val="22"/>
        </w:rPr>
      </w:pPr>
      <w:r w:rsidRPr="00F24FAC">
        <w:rPr>
          <w:b/>
          <w:bCs/>
          <w:sz w:val="22"/>
          <w:szCs w:val="22"/>
        </w:rPr>
        <w:t>DFQ Rate:</w:t>
      </w:r>
      <w:r w:rsidRPr="00F24FAC">
        <w:rPr>
          <w:sz w:val="22"/>
          <w:szCs w:val="22"/>
        </w:rPr>
        <w:t xml:space="preserve"> T</w:t>
      </w:r>
      <w:r w:rsidRPr="00F92848" w:rsidR="001A2FAE">
        <w:rPr>
          <w:sz w:val="22"/>
          <w:szCs w:val="22"/>
        </w:rPr>
        <w:t>IG</w:t>
      </w:r>
      <w:r w:rsidRPr="00F24FAC">
        <w:rPr>
          <w:sz w:val="22"/>
          <w:szCs w:val="22"/>
        </w:rPr>
        <w:t xml:space="preserve"> group showed slightly lower rates overall (M = 15.41%) than control (M = 16.16%), with the most notable improvement in Humanities and Social Sciences (from 17.60% to 12.37%).</w:t>
      </w:r>
    </w:p>
    <w:p w:rsidRPr="00F24FAC" w:rsidR="00DC04C3" w:rsidP="001A2FAE" w:rsidRDefault="00DC04C3" w14:paraId="415AB48F" w14:textId="77777777">
      <w:pPr>
        <w:numPr>
          <w:ilvl w:val="1"/>
          <w:numId w:val="3"/>
        </w:numPr>
        <w:spacing w:line="240" w:lineRule="auto"/>
        <w:rPr>
          <w:sz w:val="22"/>
          <w:szCs w:val="22"/>
        </w:rPr>
      </w:pPr>
      <w:r w:rsidRPr="00F24FAC">
        <w:rPr>
          <w:b/>
          <w:bCs/>
          <w:sz w:val="22"/>
          <w:szCs w:val="22"/>
        </w:rPr>
        <w:t>Excellent Teacher Ratings:</w:t>
      </w:r>
      <w:r w:rsidRPr="00F24FAC">
        <w:rPr>
          <w:sz w:val="22"/>
          <w:szCs w:val="22"/>
        </w:rPr>
        <w:t xml:space="preserve"> Slightly higher ratings were observed in the TIG group (M = 4.33) compared to control (M = 4.22), particularly in Education and Arts and Media.</w:t>
      </w:r>
    </w:p>
    <w:p w:rsidRPr="00F24FAC" w:rsidR="00DC04C3" w:rsidP="001A2FAE" w:rsidRDefault="00DC04C3" w14:paraId="4FCD97EE" w14:textId="77777777">
      <w:pPr>
        <w:numPr>
          <w:ilvl w:val="0"/>
          <w:numId w:val="3"/>
        </w:numPr>
        <w:spacing w:line="240" w:lineRule="auto"/>
        <w:rPr>
          <w:sz w:val="22"/>
          <w:szCs w:val="22"/>
        </w:rPr>
      </w:pPr>
      <w:r w:rsidRPr="00F24FAC">
        <w:rPr>
          <w:b/>
          <w:bCs/>
          <w:sz w:val="22"/>
          <w:szCs w:val="22"/>
        </w:rPr>
        <w:t>Statistical Analysis:</w:t>
      </w:r>
    </w:p>
    <w:p w:rsidRPr="00F24FAC" w:rsidR="00DC04C3" w:rsidP="001A2FAE" w:rsidRDefault="00DC04C3" w14:paraId="1D4A7854" w14:textId="77777777">
      <w:pPr>
        <w:numPr>
          <w:ilvl w:val="1"/>
          <w:numId w:val="3"/>
        </w:numPr>
        <w:spacing w:line="240" w:lineRule="auto"/>
        <w:rPr>
          <w:sz w:val="22"/>
          <w:szCs w:val="22"/>
        </w:rPr>
      </w:pPr>
      <w:r w:rsidRPr="00F24FAC">
        <w:rPr>
          <w:b/>
          <w:bCs/>
          <w:sz w:val="22"/>
          <w:szCs w:val="22"/>
        </w:rPr>
        <w:t>MANOVA</w:t>
      </w:r>
      <w:r w:rsidRPr="00F24FAC">
        <w:rPr>
          <w:sz w:val="22"/>
          <w:szCs w:val="22"/>
        </w:rPr>
        <w:t xml:space="preserve"> revealed a significant main effect of College (F = 18.463, </w:t>
      </w:r>
      <w:r w:rsidRPr="00F24FAC">
        <w:rPr>
          <w:i/>
          <w:iCs/>
          <w:sz w:val="22"/>
          <w:szCs w:val="22"/>
        </w:rPr>
        <w:t>p</w:t>
      </w:r>
      <w:r w:rsidRPr="00F24FAC">
        <w:rPr>
          <w:sz w:val="22"/>
          <w:szCs w:val="22"/>
        </w:rPr>
        <w:t xml:space="preserve"> &lt; .001, η² = .071), but </w:t>
      </w:r>
      <w:r w:rsidRPr="00F24FAC">
        <w:rPr>
          <w:b/>
          <w:bCs/>
          <w:sz w:val="22"/>
          <w:szCs w:val="22"/>
        </w:rPr>
        <w:t>no significant effect</w:t>
      </w:r>
      <w:r w:rsidRPr="00F24FAC">
        <w:rPr>
          <w:sz w:val="22"/>
          <w:szCs w:val="22"/>
        </w:rPr>
        <w:t xml:space="preserve"> of TIG treatment (F = 1.927, </w:t>
      </w:r>
      <w:r w:rsidRPr="00F24FAC">
        <w:rPr>
          <w:i/>
          <w:iCs/>
          <w:sz w:val="22"/>
          <w:szCs w:val="22"/>
        </w:rPr>
        <w:t>p</w:t>
      </w:r>
      <w:r w:rsidRPr="00F24FAC">
        <w:rPr>
          <w:sz w:val="22"/>
          <w:szCs w:val="22"/>
        </w:rPr>
        <w:t xml:space="preserve"> = .146, η² = .003).</w:t>
      </w:r>
    </w:p>
    <w:p w:rsidRPr="00F24FAC" w:rsidR="00DC04C3" w:rsidP="001A2FAE" w:rsidRDefault="00DC04C3" w14:paraId="4CF6F373" w14:textId="77777777">
      <w:pPr>
        <w:numPr>
          <w:ilvl w:val="1"/>
          <w:numId w:val="3"/>
        </w:numPr>
        <w:spacing w:line="240" w:lineRule="auto"/>
        <w:rPr>
          <w:sz w:val="22"/>
          <w:szCs w:val="22"/>
        </w:rPr>
      </w:pPr>
      <w:r w:rsidRPr="00F24FAC">
        <w:rPr>
          <w:sz w:val="22"/>
          <w:szCs w:val="22"/>
        </w:rPr>
        <w:t xml:space="preserve">The interaction between TIG and College was not statistically significant (F = 1.251, </w:t>
      </w:r>
      <w:r w:rsidRPr="00F24FAC">
        <w:rPr>
          <w:i/>
          <w:iCs/>
          <w:sz w:val="22"/>
          <w:szCs w:val="22"/>
        </w:rPr>
        <w:t>p</w:t>
      </w:r>
      <w:r w:rsidRPr="00F24FAC">
        <w:rPr>
          <w:sz w:val="22"/>
          <w:szCs w:val="22"/>
        </w:rPr>
        <w:t xml:space="preserve"> = .241), indicating that treatment effects were not strongly differentiated by college affiliation.</w:t>
      </w:r>
    </w:p>
    <w:p w:rsidRPr="00F24FAC" w:rsidR="00DC04C3" w:rsidP="001A2FAE" w:rsidRDefault="00DC04C3" w14:paraId="38E660D0" w14:textId="77777777">
      <w:pPr>
        <w:spacing w:line="240" w:lineRule="auto"/>
        <w:rPr>
          <w:b/>
          <w:bCs/>
          <w:sz w:val="22"/>
          <w:szCs w:val="22"/>
        </w:rPr>
      </w:pPr>
      <w:r w:rsidRPr="00F24FAC">
        <w:rPr>
          <w:b/>
          <w:bCs/>
          <w:sz w:val="22"/>
          <w:szCs w:val="22"/>
        </w:rPr>
        <w:t>Conclusion</w:t>
      </w:r>
    </w:p>
    <w:p w:rsidRPr="00F24FAC" w:rsidR="00DC04C3" w:rsidP="001A2FAE" w:rsidRDefault="00DC04C3" w14:paraId="791CE3D3" w14:textId="6BFAD685">
      <w:pPr>
        <w:spacing w:line="240" w:lineRule="auto"/>
        <w:rPr>
          <w:sz w:val="22"/>
          <w:szCs w:val="22"/>
        </w:rPr>
      </w:pPr>
      <w:r w:rsidRPr="19D9FEF0" w:rsidR="00DC04C3">
        <w:rPr>
          <w:sz w:val="22"/>
          <w:szCs w:val="22"/>
        </w:rPr>
        <w:t xml:space="preserve">Across all three initiatives, faculty development programs appear to have a </w:t>
      </w:r>
      <w:r w:rsidRPr="19D9FEF0" w:rsidR="49CB7F14">
        <w:rPr>
          <w:sz w:val="22"/>
          <w:szCs w:val="22"/>
        </w:rPr>
        <w:t>positive impact</w:t>
      </w:r>
      <w:r w:rsidRPr="19D9FEF0" w:rsidR="00DC04C3">
        <w:rPr>
          <w:sz w:val="22"/>
          <w:szCs w:val="22"/>
        </w:rPr>
        <w:t xml:space="preserve"> on student outcomes. ACUE and EE programs were associated with lower DFQ rates and higher instructor ratings, with statistically significant main effects. The TIG program showed descriptive improvements but did not yield statistically significant multivariate effects.</w:t>
      </w:r>
    </w:p>
    <w:p w:rsidRPr="00F92848" w:rsidR="00DC04C3" w:rsidP="00F92848" w:rsidRDefault="00DC04C3" w14:paraId="429B9F74" w14:textId="45245A34">
      <w:pPr>
        <w:spacing w:line="240" w:lineRule="auto"/>
        <w:rPr>
          <w:sz w:val="22"/>
          <w:szCs w:val="22"/>
        </w:rPr>
      </w:pPr>
      <w:r w:rsidRPr="00F24FAC">
        <w:rPr>
          <w:sz w:val="22"/>
          <w:szCs w:val="22"/>
        </w:rPr>
        <w:t>These results suggest that targeted faculty development—particularly comprehensive, pedagogically grounded programs like ACUE and EE—can enhance student perceptions and reduce disengagement. College-level differences consistently played a strong role, emphasizing the need for tailored strategies across disciplines.</w:t>
      </w:r>
    </w:p>
    <w:p w:rsidR="00DC04C3" w:rsidP="00DC04C3" w:rsidRDefault="00DC04C3" w14:paraId="4590BD30" w14:textId="6A1D8BF9">
      <w:pPr>
        <w:pStyle w:val="Heading1"/>
      </w:pPr>
      <w:bookmarkStart w:name="_Toc200371342" w:id="2"/>
      <w:r>
        <w:lastRenderedPageBreak/>
        <w:t>Descriptive Data</w:t>
      </w:r>
      <w:bookmarkEnd w:id="2"/>
    </w:p>
    <w:p w:rsidR="00AC69DB" w:rsidP="00CD4EBC" w:rsidRDefault="00AC69DB" w14:paraId="74E92C00" w14:textId="73C3CD7C">
      <w:pPr>
        <w:pStyle w:val="Heading2"/>
      </w:pPr>
      <w:bookmarkStart w:name="_Toc200371343" w:id="3"/>
      <w:r>
        <w:t xml:space="preserve">ACUE </w:t>
      </w:r>
      <w:r w:rsidR="00D0408E">
        <w:t xml:space="preserve">(N = </w:t>
      </w:r>
      <w:r w:rsidRPr="00A93788" w:rsidR="00A93788">
        <w:t>2,492</w:t>
      </w:r>
      <w:r w:rsidR="00A93788">
        <w:t>)</w:t>
      </w:r>
      <w:bookmarkEnd w:id="3"/>
    </w:p>
    <w:p w:rsidR="00CD4EBC" w:rsidRDefault="00CD4EBC" w14:paraId="0E78B140" w14:textId="684CED0D">
      <w:pPr>
        <w:rPr>
          <w:sz w:val="18"/>
          <w:szCs w:val="18"/>
        </w:rPr>
      </w:pPr>
      <w:r>
        <w:rPr>
          <w:noProof/>
        </w:rPr>
        <w:drawing>
          <wp:inline distT="0" distB="0" distL="0" distR="0" wp14:anchorId="6A2F04BB" wp14:editId="6DFE46FA">
            <wp:extent cx="6002020" cy="3260271"/>
            <wp:effectExtent l="0" t="0" r="17780" b="16510"/>
            <wp:docPr id="1363625774" name="Chart 1">
              <a:extLst xmlns:a="http://schemas.openxmlformats.org/drawingml/2006/main">
                <a:ext uri="{FF2B5EF4-FFF2-40B4-BE49-F238E27FC236}">
                  <a16:creationId xmlns:a16="http://schemas.microsoft.com/office/drawing/2014/main" id="{8980E88B-5EE6-FA8D-14A7-8557C2EE3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C04C3" w:rsidRDefault="00D0408E" w14:paraId="367131AF" w14:textId="1E368B8A">
      <w:pPr>
        <w:rPr>
          <w:sz w:val="18"/>
          <w:szCs w:val="18"/>
        </w:rPr>
      </w:pPr>
      <w:r>
        <w:rPr>
          <w:noProof/>
        </w:rPr>
        <w:drawing>
          <wp:inline distT="0" distB="0" distL="0" distR="0" wp14:anchorId="792113D4" wp14:editId="6B7765A8">
            <wp:extent cx="6007735" cy="3793671"/>
            <wp:effectExtent l="0" t="0" r="12065" b="16510"/>
            <wp:docPr id="2130056359" name="Chart 1">
              <a:extLst xmlns:a="http://schemas.openxmlformats.org/drawingml/2006/main">
                <a:ext uri="{FF2B5EF4-FFF2-40B4-BE49-F238E27FC236}">
                  <a16:creationId xmlns:a16="http://schemas.microsoft.com/office/drawing/2014/main" id="{FCB58E66-4847-747C-68E2-D442F20F05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F7B28" w:rsidRDefault="00AF7B28" w14:paraId="3A13EF30" w14:textId="77777777">
      <w:pPr>
        <w:rPr>
          <w:sz w:val="18"/>
          <w:szCs w:val="18"/>
        </w:rPr>
      </w:pPr>
    </w:p>
    <w:p w:rsidRPr="00AC69DB" w:rsidR="00AC69DB" w:rsidP="00AC69DB" w:rsidRDefault="00810533" w14:paraId="61711A93" w14:textId="34DC132D">
      <w:pPr>
        <w:pStyle w:val="Heading2"/>
      </w:pPr>
      <w:bookmarkStart w:name="_Toc200371344" w:id="4"/>
      <w:r w:rsidRPr="00AC69DB">
        <w:lastRenderedPageBreak/>
        <w:t xml:space="preserve">Engaging Explorations </w:t>
      </w:r>
      <w:r w:rsidR="00D0408E">
        <w:t>(</w:t>
      </w:r>
      <w:r w:rsidRPr="00A93788" w:rsidR="00D0408E">
        <w:rPr>
          <w:i/>
          <w:iCs/>
        </w:rPr>
        <w:t>N</w:t>
      </w:r>
      <w:r w:rsidR="00D0408E">
        <w:t xml:space="preserve"> = </w:t>
      </w:r>
      <w:r w:rsidR="00A93788">
        <w:t>3,294)</w:t>
      </w:r>
      <w:bookmarkEnd w:id="4"/>
    </w:p>
    <w:p w:rsidR="003818BD" w:rsidRDefault="003818BD" w14:paraId="5E660FD0" w14:textId="350D2154">
      <w:pPr>
        <w:rPr>
          <w:sz w:val="18"/>
          <w:szCs w:val="18"/>
        </w:rPr>
      </w:pPr>
      <w:r>
        <w:rPr>
          <w:noProof/>
        </w:rPr>
        <w:drawing>
          <wp:inline distT="0" distB="0" distL="0" distR="0" wp14:anchorId="53C4706D" wp14:editId="6E870D20">
            <wp:extent cx="5996305" cy="3548743"/>
            <wp:effectExtent l="0" t="0" r="4445" b="13970"/>
            <wp:docPr id="1607735866" name="Chart 1">
              <a:extLst xmlns:a="http://schemas.openxmlformats.org/drawingml/2006/main">
                <a:ext uri="{FF2B5EF4-FFF2-40B4-BE49-F238E27FC236}">
                  <a16:creationId xmlns:a16="http://schemas.microsoft.com/office/drawing/2014/main" id="{FE8439A8-E6BB-D3EA-23CD-C5C3181045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10533" w:rsidRDefault="00810533" w14:paraId="6505F403" w14:textId="7C05FA16">
      <w:pPr>
        <w:rPr>
          <w:sz w:val="18"/>
          <w:szCs w:val="18"/>
        </w:rPr>
      </w:pPr>
      <w:r>
        <w:rPr>
          <w:noProof/>
        </w:rPr>
        <w:drawing>
          <wp:inline distT="0" distB="0" distL="0" distR="0" wp14:anchorId="0C58082B" wp14:editId="327D3C6C">
            <wp:extent cx="6019800" cy="3565071"/>
            <wp:effectExtent l="0" t="0" r="0" b="16510"/>
            <wp:docPr id="158683400" name="Chart 1">
              <a:extLst xmlns:a="http://schemas.openxmlformats.org/drawingml/2006/main">
                <a:ext uri="{FF2B5EF4-FFF2-40B4-BE49-F238E27FC236}">
                  <a16:creationId xmlns:a16="http://schemas.microsoft.com/office/drawing/2014/main" id="{7D6177B8-2FE4-5F34-07D3-07E72DDFE0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0407C" w:rsidRDefault="00B0407C" w14:paraId="761F60D9" w14:textId="7D756C89">
      <w:pPr>
        <w:rPr>
          <w:sz w:val="18"/>
          <w:szCs w:val="18"/>
        </w:rPr>
      </w:pPr>
    </w:p>
    <w:p w:rsidR="00D0408E" w:rsidRDefault="00D0408E" w14:paraId="5A9F9243" w14:textId="77777777">
      <w:pPr>
        <w:rPr>
          <w:sz w:val="18"/>
          <w:szCs w:val="18"/>
        </w:rPr>
      </w:pPr>
    </w:p>
    <w:p w:rsidR="00D0408E" w:rsidP="004C422D" w:rsidRDefault="00D0408E" w14:paraId="193EA528" w14:textId="0007C986">
      <w:pPr>
        <w:pStyle w:val="Heading2"/>
      </w:pPr>
      <w:bookmarkStart w:name="_Toc200371345" w:id="5"/>
      <w:r>
        <w:lastRenderedPageBreak/>
        <w:t>Teaching Innovation Grants</w:t>
      </w:r>
      <w:r w:rsidR="00314E34">
        <w:t xml:space="preserve"> (</w:t>
      </w:r>
      <w:r w:rsidRPr="00B93F88" w:rsidR="00314E34">
        <w:rPr>
          <w:i/>
          <w:iCs/>
        </w:rPr>
        <w:t>N</w:t>
      </w:r>
      <w:r w:rsidR="00314E34">
        <w:t xml:space="preserve"> = 1,</w:t>
      </w:r>
      <w:r w:rsidR="00B93F88">
        <w:t>440)</w:t>
      </w:r>
      <w:bookmarkEnd w:id="5"/>
    </w:p>
    <w:p w:rsidR="00D0408E" w:rsidRDefault="004C422D" w14:paraId="65382432" w14:textId="79760A64">
      <w:pPr>
        <w:rPr>
          <w:sz w:val="18"/>
          <w:szCs w:val="18"/>
        </w:rPr>
      </w:pPr>
      <w:r>
        <w:rPr>
          <w:noProof/>
        </w:rPr>
        <w:drawing>
          <wp:inline distT="0" distB="0" distL="0" distR="0" wp14:anchorId="40799205" wp14:editId="0322BB54">
            <wp:extent cx="5996305" cy="3374571"/>
            <wp:effectExtent l="0" t="0" r="4445" b="16510"/>
            <wp:docPr id="1408239192" name="Chart 1">
              <a:extLst xmlns:a="http://schemas.openxmlformats.org/drawingml/2006/main">
                <a:ext uri="{FF2B5EF4-FFF2-40B4-BE49-F238E27FC236}">
                  <a16:creationId xmlns:a16="http://schemas.microsoft.com/office/drawing/2014/main" id="{60ACE9FE-5693-C534-B91A-5D48895F66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0408E" w:rsidRDefault="001900CF" w14:paraId="038BDF57" w14:textId="7322BE0D">
      <w:pPr>
        <w:rPr>
          <w:sz w:val="18"/>
          <w:szCs w:val="18"/>
        </w:rPr>
      </w:pPr>
      <w:r>
        <w:rPr>
          <w:noProof/>
        </w:rPr>
        <w:drawing>
          <wp:inline distT="0" distB="0" distL="0" distR="0" wp14:anchorId="16E1F615" wp14:editId="377CE976">
            <wp:extent cx="6007735" cy="3243943"/>
            <wp:effectExtent l="0" t="0" r="12065" b="13970"/>
            <wp:docPr id="714498588" name="Chart 1">
              <a:extLst xmlns:a="http://schemas.openxmlformats.org/drawingml/2006/main">
                <a:ext uri="{FF2B5EF4-FFF2-40B4-BE49-F238E27FC236}">
                  <a16:creationId xmlns:a16="http://schemas.microsoft.com/office/drawing/2014/main" id="{26286BDE-BE98-4487-354F-22431084F3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0408E" w:rsidRDefault="00D0408E" w14:paraId="3465465C" w14:textId="77777777">
      <w:pPr>
        <w:rPr>
          <w:sz w:val="18"/>
          <w:szCs w:val="18"/>
        </w:rPr>
      </w:pPr>
    </w:p>
    <w:p w:rsidR="00D0408E" w:rsidRDefault="00D0408E" w14:paraId="09AC6E94" w14:textId="77777777">
      <w:pPr>
        <w:rPr>
          <w:sz w:val="18"/>
          <w:szCs w:val="18"/>
        </w:rPr>
      </w:pPr>
    </w:p>
    <w:p w:rsidR="00D0408E" w:rsidRDefault="00D0408E" w14:paraId="197E7131" w14:textId="77777777">
      <w:pPr>
        <w:rPr>
          <w:sz w:val="18"/>
          <w:szCs w:val="18"/>
        </w:rPr>
      </w:pPr>
    </w:p>
    <w:p w:rsidRPr="00077EF6" w:rsidR="00E03C59" w:rsidP="00E03C59" w:rsidRDefault="00E03C59" w14:paraId="6C8F35DD" w14:textId="7EAF5CCC">
      <w:pPr>
        <w:pStyle w:val="Heading1"/>
      </w:pPr>
      <w:bookmarkStart w:name="_Toc200371346" w:id="6"/>
      <w:r>
        <w:lastRenderedPageBreak/>
        <w:t>Inferential Statistical Analysis</w:t>
      </w:r>
      <w:bookmarkEnd w:id="6"/>
    </w:p>
    <w:p w:rsidRPr="00E03C59" w:rsidR="00C56C0E" w:rsidP="003C42E4" w:rsidRDefault="00DC61E5" w14:paraId="0CDA7FBC" w14:textId="6F69A7D8">
      <w:pPr>
        <w:pStyle w:val="Heading2"/>
        <w:rPr>
          <w:sz w:val="32"/>
          <w:szCs w:val="32"/>
        </w:rPr>
      </w:pPr>
      <w:bookmarkStart w:name="_Toc200371347" w:id="7"/>
      <w:r w:rsidRPr="00E03C59">
        <w:rPr>
          <w:sz w:val="32"/>
          <w:szCs w:val="32"/>
        </w:rPr>
        <w:t>ACUE Impact</w:t>
      </w:r>
      <w:bookmarkEnd w:id="7"/>
      <w:r w:rsidRPr="00E03C59" w:rsidR="00AC69DB">
        <w:rPr>
          <w:sz w:val="32"/>
          <w:szCs w:val="32"/>
        </w:rPr>
        <w:t xml:space="preserve"> </w:t>
      </w:r>
    </w:p>
    <w:p w:rsidR="001B75F6" w:rsidP="00DC61E5" w:rsidRDefault="001B75F6" w14:paraId="17194E5B" w14:textId="2AFF1B9A">
      <w:pPr>
        <w:spacing w:before="0" w:after="160" w:line="278" w:lineRule="auto"/>
        <w:rPr>
          <w:sz w:val="24"/>
          <w:szCs w:val="24"/>
        </w:rPr>
      </w:pPr>
    </w:p>
    <w:p w:rsidR="00641695" w:rsidP="00DC61E5" w:rsidRDefault="00641695" w14:paraId="22C38BF7" w14:textId="34493834">
      <w:pPr>
        <w:spacing w:before="0" w:after="160" w:line="278" w:lineRule="auto"/>
        <w:rPr>
          <w:rFonts w:cstheme="minorHAnsi"/>
          <w:sz w:val="24"/>
          <w:szCs w:val="24"/>
        </w:rPr>
      </w:pPr>
      <w:r w:rsidRPr="00E2790E">
        <w:rPr>
          <w:rFonts w:cstheme="minorHAnsi"/>
          <w:sz w:val="24"/>
          <w:szCs w:val="24"/>
        </w:rPr>
        <w:t xml:space="preserve">Propensity score matching was used to match ACUE courses and other courses using </w:t>
      </w:r>
      <w:r w:rsidRPr="00E2790E" w:rsidR="00E2790E">
        <w:rPr>
          <w:rFonts w:cstheme="minorHAnsi"/>
          <w:sz w:val="24"/>
          <w:szCs w:val="24"/>
        </w:rPr>
        <w:t>faculty department</w:t>
      </w:r>
      <w:r w:rsidRPr="00E2790E">
        <w:rPr>
          <w:rFonts w:cstheme="minorHAnsi"/>
          <w:sz w:val="24"/>
          <w:szCs w:val="24"/>
        </w:rPr>
        <w:t>, race,</w:t>
      </w:r>
      <w:r w:rsidRPr="00E2790E" w:rsidR="00E2790E">
        <w:rPr>
          <w:rFonts w:cstheme="minorHAnsi"/>
          <w:sz w:val="24"/>
          <w:szCs w:val="24"/>
        </w:rPr>
        <w:t xml:space="preserve"> </w:t>
      </w:r>
      <w:r w:rsidRPr="00E2790E">
        <w:rPr>
          <w:rFonts w:cstheme="minorHAnsi"/>
          <w:sz w:val="24"/>
          <w:szCs w:val="24"/>
        </w:rPr>
        <w:t>gender</w:t>
      </w:r>
      <w:r w:rsidRPr="00E2790E" w:rsidR="00E2790E">
        <w:rPr>
          <w:rFonts w:cstheme="minorHAnsi"/>
          <w:sz w:val="24"/>
          <w:szCs w:val="24"/>
        </w:rPr>
        <w:t>, course enrollment</w:t>
      </w:r>
      <w:r w:rsidRPr="00E2790E">
        <w:rPr>
          <w:rFonts w:cstheme="minorHAnsi"/>
          <w:sz w:val="24"/>
          <w:szCs w:val="24"/>
        </w:rPr>
        <w:t xml:space="preserve"> as covariates</w:t>
      </w:r>
      <w:r w:rsidRPr="00E2790E" w:rsidR="00E2790E">
        <w:rPr>
          <w:rFonts w:cstheme="minorHAnsi"/>
          <w:sz w:val="24"/>
          <w:szCs w:val="24"/>
        </w:rPr>
        <w:t xml:space="preserve"> u</w:t>
      </w:r>
      <w:r w:rsidRPr="00E2790E">
        <w:rPr>
          <w:rFonts w:cstheme="minorHAnsi"/>
          <w:sz w:val="24"/>
          <w:szCs w:val="24"/>
        </w:rPr>
        <w:t>sing a distance caliper of 0.</w:t>
      </w:r>
      <w:r w:rsidRPr="00E2790E" w:rsidR="00E2790E">
        <w:rPr>
          <w:rFonts w:cstheme="minorHAnsi"/>
          <w:sz w:val="24"/>
          <w:szCs w:val="24"/>
        </w:rPr>
        <w:t xml:space="preserve">05 (Table </w:t>
      </w:r>
      <w:r w:rsidR="00E2790E">
        <w:rPr>
          <w:rFonts w:cstheme="minorHAnsi"/>
          <w:sz w:val="24"/>
          <w:szCs w:val="24"/>
        </w:rPr>
        <w:t>1</w:t>
      </w:r>
      <w:r w:rsidRPr="00E2790E" w:rsidR="00E2790E">
        <w:rPr>
          <w:rFonts w:cstheme="minorHAnsi"/>
          <w:sz w:val="24"/>
          <w:szCs w:val="24"/>
        </w:rPr>
        <w:t xml:space="preserve">). </w:t>
      </w:r>
    </w:p>
    <w:p w:rsidRPr="00E2790E" w:rsidR="00E2790E" w:rsidP="00E2790E" w:rsidRDefault="00E2790E" w14:paraId="766278C7" w14:textId="7AAD6F6D">
      <w:pPr>
        <w:pStyle w:val="NoSpacing"/>
        <w:rPr>
          <w:sz w:val="24"/>
          <w:szCs w:val="24"/>
        </w:rPr>
      </w:pPr>
      <w:r w:rsidRPr="00E2790E">
        <w:rPr>
          <w:sz w:val="24"/>
          <w:szCs w:val="24"/>
        </w:rPr>
        <w:t>Table 1</w:t>
      </w:r>
    </w:p>
    <w:p w:rsidRPr="00E2790E" w:rsidR="001B75F6" w:rsidP="00E2790E" w:rsidRDefault="008202CA" w14:paraId="274B6EA9" w14:textId="108C831E">
      <w:pPr>
        <w:pStyle w:val="NoSpacing"/>
        <w:rPr>
          <w:i/>
          <w:iCs/>
          <w:sz w:val="24"/>
          <w:szCs w:val="24"/>
        </w:rPr>
      </w:pPr>
      <w:r w:rsidRPr="00E2790E">
        <w:rPr>
          <w:i/>
          <w:iCs/>
          <w:sz w:val="24"/>
          <w:szCs w:val="24"/>
        </w:rPr>
        <w:t>Summary of Balance</w:t>
      </w:r>
    </w:p>
    <w:tbl>
      <w:tblPr>
        <w:tblW w:w="0" w:type="auto"/>
        <w:tblBorders>
          <w:top w:val="single" w:color="auto" w:sz="4" w:space="0"/>
          <w:bottom w:val="single" w:color="auto" w:sz="4" w:space="0"/>
        </w:tblBorders>
        <w:tblLook w:val="04A0" w:firstRow="1" w:lastRow="0" w:firstColumn="1" w:lastColumn="0" w:noHBand="0" w:noVBand="1"/>
      </w:tblPr>
      <w:tblGrid>
        <w:gridCol w:w="2007"/>
        <w:gridCol w:w="986"/>
        <w:gridCol w:w="1457"/>
        <w:gridCol w:w="751"/>
        <w:gridCol w:w="986"/>
        <w:gridCol w:w="1457"/>
        <w:gridCol w:w="751"/>
      </w:tblGrid>
      <w:tr w:rsidRPr="00F92848" w:rsidR="00A93788" w:rsidTr="009C593F" w14:paraId="45E12959" w14:textId="77777777">
        <w:trPr>
          <w:trHeight w:val="288"/>
        </w:trPr>
        <w:tc>
          <w:tcPr>
            <w:tcW w:w="0" w:type="auto"/>
            <w:tcBorders>
              <w:bottom w:val="nil"/>
            </w:tcBorders>
            <w:shd w:val="clear" w:color="auto" w:fill="auto"/>
            <w:noWrap/>
            <w:vAlign w:val="bottom"/>
            <w:hideMark/>
          </w:tcPr>
          <w:p w:rsidRPr="00F92848" w:rsidR="00A93788" w:rsidP="008202CA" w:rsidRDefault="00A93788" w14:paraId="32C6BC12" w14:textId="77777777">
            <w:pPr>
              <w:spacing w:before="0" w:after="0" w:line="240" w:lineRule="auto"/>
              <w:rPr>
                <w:rFonts w:ascii="Times New Roman" w:hAnsi="Times New Roman" w:eastAsia="Times New Roman" w:cs="Times New Roman"/>
                <w:sz w:val="24"/>
                <w:szCs w:val="24"/>
              </w:rPr>
            </w:pPr>
          </w:p>
        </w:tc>
        <w:tc>
          <w:tcPr>
            <w:tcW w:w="0" w:type="auto"/>
            <w:gridSpan w:val="3"/>
            <w:tcBorders>
              <w:top w:val="single" w:color="auto" w:sz="4" w:space="0"/>
              <w:bottom w:val="single" w:color="auto" w:sz="4" w:space="0"/>
            </w:tcBorders>
            <w:shd w:val="clear" w:color="auto" w:fill="auto"/>
            <w:noWrap/>
            <w:vAlign w:val="bottom"/>
            <w:hideMark/>
          </w:tcPr>
          <w:p w:rsidRPr="00F92848" w:rsidR="00A93788" w:rsidP="008202CA" w:rsidRDefault="00A93788" w14:paraId="164E1638" w14:textId="67F0FDD5">
            <w:pPr>
              <w:spacing w:before="0" w:after="0" w:line="240" w:lineRule="auto"/>
              <w:rPr>
                <w:rFonts w:ascii="Aptos Narrow" w:hAnsi="Aptos Narrow" w:eastAsia="Times New Roman" w:cs="Times New Roman"/>
                <w:color w:val="000000"/>
                <w:sz w:val="24"/>
                <w:szCs w:val="24"/>
              </w:rPr>
            </w:pPr>
            <w:r w:rsidRPr="00F92848">
              <w:rPr>
                <w:rFonts w:ascii="Aptos Narrow" w:hAnsi="Aptos Narrow" w:eastAsia="Times New Roman" w:cs="Times New Roman"/>
                <w:color w:val="000000"/>
                <w:sz w:val="24"/>
                <w:szCs w:val="24"/>
              </w:rPr>
              <w:t>Unmatched (</w:t>
            </w:r>
            <w:r w:rsidRPr="00F92848">
              <w:rPr>
                <w:rFonts w:ascii="Aptos Narrow" w:hAnsi="Aptos Narrow" w:eastAsia="Times New Roman" w:cs="Times New Roman"/>
                <w:i/>
                <w:iCs/>
                <w:color w:val="000000"/>
                <w:sz w:val="24"/>
                <w:szCs w:val="24"/>
              </w:rPr>
              <w:t>N</w:t>
            </w:r>
            <w:r w:rsidRPr="00F92848">
              <w:rPr>
                <w:rFonts w:ascii="Aptos Narrow" w:hAnsi="Aptos Narrow" w:eastAsia="Times New Roman" w:cs="Times New Roman"/>
                <w:color w:val="000000"/>
                <w:sz w:val="24"/>
                <w:szCs w:val="24"/>
              </w:rPr>
              <w:t xml:space="preserve"> = 11,896)</w:t>
            </w:r>
          </w:p>
        </w:tc>
        <w:tc>
          <w:tcPr>
            <w:tcW w:w="0" w:type="auto"/>
            <w:gridSpan w:val="2"/>
            <w:tcBorders>
              <w:top w:val="single" w:color="auto" w:sz="4" w:space="0"/>
              <w:bottom w:val="single" w:color="auto" w:sz="4" w:space="0"/>
            </w:tcBorders>
            <w:shd w:val="clear" w:color="auto" w:fill="auto"/>
            <w:noWrap/>
            <w:vAlign w:val="bottom"/>
            <w:hideMark/>
          </w:tcPr>
          <w:p w:rsidRPr="00F92848" w:rsidR="00A93788" w:rsidP="008202CA" w:rsidRDefault="00A93788" w14:paraId="289BB624" w14:textId="35649B84">
            <w:pPr>
              <w:spacing w:before="0" w:after="0" w:line="240" w:lineRule="auto"/>
              <w:rPr>
                <w:rFonts w:ascii="Times New Roman" w:hAnsi="Times New Roman" w:eastAsia="Times New Roman" w:cs="Times New Roman"/>
                <w:sz w:val="24"/>
                <w:szCs w:val="24"/>
              </w:rPr>
            </w:pPr>
            <w:r w:rsidRPr="00F92848">
              <w:rPr>
                <w:rFonts w:ascii="Aptos Narrow" w:hAnsi="Aptos Narrow" w:eastAsia="Times New Roman" w:cs="Times New Roman"/>
                <w:color w:val="000000"/>
                <w:sz w:val="24"/>
                <w:szCs w:val="24"/>
              </w:rPr>
              <w:t>Matched (</w:t>
            </w:r>
            <w:r w:rsidRPr="00F92848">
              <w:rPr>
                <w:rFonts w:ascii="Aptos Narrow" w:hAnsi="Aptos Narrow" w:eastAsia="Times New Roman" w:cs="Times New Roman"/>
                <w:i/>
                <w:iCs/>
                <w:color w:val="000000"/>
                <w:sz w:val="24"/>
                <w:szCs w:val="24"/>
              </w:rPr>
              <w:t>N</w:t>
            </w:r>
            <w:r w:rsidRPr="00F92848">
              <w:rPr>
                <w:rFonts w:ascii="Aptos Narrow" w:hAnsi="Aptos Narrow" w:eastAsia="Times New Roman" w:cs="Times New Roman"/>
                <w:color w:val="000000"/>
                <w:sz w:val="24"/>
                <w:szCs w:val="24"/>
              </w:rPr>
              <w:t xml:space="preserve"> = 2,492)</w:t>
            </w:r>
          </w:p>
        </w:tc>
        <w:tc>
          <w:tcPr>
            <w:tcW w:w="0" w:type="auto"/>
            <w:tcBorders>
              <w:top w:val="single" w:color="auto" w:sz="4" w:space="0"/>
              <w:bottom w:val="single" w:color="auto" w:sz="4" w:space="0"/>
            </w:tcBorders>
            <w:shd w:val="clear" w:color="auto" w:fill="auto"/>
            <w:noWrap/>
            <w:vAlign w:val="bottom"/>
            <w:hideMark/>
          </w:tcPr>
          <w:p w:rsidRPr="00F92848" w:rsidR="00A93788" w:rsidP="008202CA" w:rsidRDefault="00A93788" w14:paraId="78A75126" w14:textId="7FA5EA9F">
            <w:pPr>
              <w:spacing w:before="0" w:after="0" w:line="240" w:lineRule="auto"/>
              <w:rPr>
                <w:rFonts w:ascii="Aptos Narrow" w:hAnsi="Aptos Narrow" w:eastAsia="Times New Roman" w:cs="Times New Roman"/>
                <w:color w:val="000000"/>
                <w:sz w:val="24"/>
                <w:szCs w:val="24"/>
              </w:rPr>
            </w:pPr>
          </w:p>
        </w:tc>
      </w:tr>
      <w:tr w:rsidRPr="00F92848" w:rsidR="008202CA" w:rsidTr="00430AE1" w14:paraId="4C37221C" w14:textId="77777777">
        <w:trPr>
          <w:trHeight w:val="288"/>
        </w:trPr>
        <w:tc>
          <w:tcPr>
            <w:tcW w:w="0" w:type="auto"/>
            <w:tcBorders>
              <w:top w:val="nil"/>
              <w:bottom w:val="single" w:color="auto" w:sz="4" w:space="0"/>
            </w:tcBorders>
            <w:shd w:val="clear" w:color="auto" w:fill="auto"/>
            <w:noWrap/>
            <w:vAlign w:val="bottom"/>
            <w:hideMark/>
          </w:tcPr>
          <w:p w:rsidRPr="00F92848" w:rsidR="008202CA" w:rsidP="008202CA" w:rsidRDefault="008202CA" w14:paraId="69FC0FA0" w14:textId="77777777">
            <w:pPr>
              <w:spacing w:before="0" w:after="0" w:line="240" w:lineRule="auto"/>
              <w:rPr>
                <w:rFonts w:ascii="Aptos Narrow" w:hAnsi="Aptos Narrow" w:eastAsia="Times New Roman" w:cs="Times New Roman"/>
                <w:color w:val="000000"/>
                <w:sz w:val="24"/>
                <w:szCs w:val="24"/>
              </w:rPr>
            </w:pPr>
          </w:p>
        </w:tc>
        <w:tc>
          <w:tcPr>
            <w:tcW w:w="0" w:type="auto"/>
            <w:tcBorders>
              <w:top w:val="single" w:color="auto" w:sz="4" w:space="0"/>
              <w:bottom w:val="single" w:color="auto" w:sz="4" w:space="0"/>
            </w:tcBorders>
            <w:shd w:val="clear" w:color="auto" w:fill="auto"/>
            <w:noWrap/>
            <w:vAlign w:val="bottom"/>
            <w:hideMark/>
          </w:tcPr>
          <w:p w:rsidRPr="00F92848" w:rsidR="008202CA" w:rsidP="00062E20" w:rsidRDefault="00430AE1" w14:paraId="05F0543B" w14:textId="5D220599">
            <w:pPr>
              <w:spacing w:before="0" w:after="0" w:line="240" w:lineRule="auto"/>
              <w:rPr>
                <w:rFonts w:ascii="Aptos Narrow" w:hAnsi="Aptos Narrow" w:eastAsia="Times New Roman" w:cs="Times New Roman"/>
                <w:color w:val="000000"/>
                <w:sz w:val="24"/>
                <w:szCs w:val="24"/>
              </w:rPr>
            </w:pPr>
            <w:r w:rsidRPr="00F92848">
              <w:rPr>
                <w:rFonts w:ascii="Aptos Narrow" w:hAnsi="Aptos Narrow" w:eastAsia="Times New Roman" w:cs="Times New Roman"/>
                <w:color w:val="000000"/>
                <w:sz w:val="24"/>
                <w:szCs w:val="24"/>
              </w:rPr>
              <w:t>ACUE</w:t>
            </w:r>
            <w:r w:rsidRPr="00F92848" w:rsidR="008202CA">
              <w:rPr>
                <w:rFonts w:ascii="Aptos Narrow" w:hAnsi="Aptos Narrow" w:eastAsia="Times New Roman" w:cs="Times New Roman"/>
                <w:color w:val="000000"/>
                <w:sz w:val="24"/>
                <w:szCs w:val="24"/>
              </w:rPr>
              <w:t xml:space="preserve"> M</w:t>
            </w:r>
          </w:p>
        </w:tc>
        <w:tc>
          <w:tcPr>
            <w:tcW w:w="0" w:type="auto"/>
            <w:tcBorders>
              <w:top w:val="single" w:color="auto" w:sz="4" w:space="0"/>
              <w:bottom w:val="single" w:color="auto" w:sz="4" w:space="0"/>
            </w:tcBorders>
            <w:shd w:val="clear" w:color="auto" w:fill="auto"/>
            <w:noWrap/>
            <w:vAlign w:val="bottom"/>
            <w:hideMark/>
          </w:tcPr>
          <w:p w:rsidRPr="00F92848" w:rsidR="008202CA" w:rsidP="00062E20" w:rsidRDefault="008202CA" w14:paraId="6FDC0C82" w14:textId="4F833017">
            <w:pPr>
              <w:spacing w:before="0" w:after="0" w:line="240" w:lineRule="auto"/>
              <w:rPr>
                <w:rFonts w:ascii="Aptos Narrow" w:hAnsi="Aptos Narrow" w:eastAsia="Times New Roman" w:cs="Times New Roman"/>
                <w:color w:val="000000"/>
                <w:sz w:val="24"/>
                <w:szCs w:val="24"/>
              </w:rPr>
            </w:pPr>
            <w:r w:rsidRPr="00F92848">
              <w:rPr>
                <w:rFonts w:ascii="Aptos Narrow" w:hAnsi="Aptos Narrow" w:eastAsia="Times New Roman" w:cs="Times New Roman"/>
                <w:color w:val="000000"/>
                <w:sz w:val="24"/>
                <w:szCs w:val="24"/>
              </w:rPr>
              <w:t>Non-</w:t>
            </w:r>
            <w:r w:rsidRPr="00F92848" w:rsidR="00430AE1">
              <w:rPr>
                <w:rFonts w:ascii="Aptos Narrow" w:hAnsi="Aptos Narrow" w:eastAsia="Times New Roman" w:cs="Times New Roman"/>
                <w:color w:val="000000"/>
                <w:sz w:val="24"/>
                <w:szCs w:val="24"/>
              </w:rPr>
              <w:t>ACUE</w:t>
            </w:r>
            <w:r w:rsidRPr="00F92848">
              <w:rPr>
                <w:rFonts w:ascii="Aptos Narrow" w:hAnsi="Aptos Narrow" w:eastAsia="Times New Roman" w:cs="Times New Roman"/>
                <w:color w:val="000000"/>
                <w:sz w:val="24"/>
                <w:szCs w:val="24"/>
              </w:rPr>
              <w:t xml:space="preserve"> M</w:t>
            </w:r>
          </w:p>
        </w:tc>
        <w:tc>
          <w:tcPr>
            <w:tcW w:w="0" w:type="auto"/>
            <w:tcBorders>
              <w:top w:val="single" w:color="auto" w:sz="4" w:space="0"/>
              <w:bottom w:val="single" w:color="auto" w:sz="4" w:space="0"/>
            </w:tcBorders>
            <w:shd w:val="clear" w:color="auto" w:fill="auto"/>
            <w:noWrap/>
            <w:vAlign w:val="bottom"/>
            <w:hideMark/>
          </w:tcPr>
          <w:p w:rsidRPr="00F92848" w:rsidR="008202CA" w:rsidP="00062E20" w:rsidRDefault="008202CA" w14:paraId="67D8D674" w14:textId="77777777">
            <w:pPr>
              <w:spacing w:before="0" w:after="0" w:line="240" w:lineRule="auto"/>
              <w:rPr>
                <w:rFonts w:ascii="Aptos Narrow" w:hAnsi="Aptos Narrow" w:eastAsia="Times New Roman" w:cs="Times New Roman"/>
                <w:color w:val="000000"/>
                <w:sz w:val="24"/>
                <w:szCs w:val="24"/>
              </w:rPr>
            </w:pPr>
            <w:r w:rsidRPr="00F92848">
              <w:rPr>
                <w:rFonts w:ascii="Aptos Narrow" w:hAnsi="Aptos Narrow" w:eastAsia="Times New Roman" w:cs="Times New Roman"/>
                <w:color w:val="000000"/>
                <w:sz w:val="24"/>
                <w:szCs w:val="24"/>
              </w:rPr>
              <w:t>d</w:t>
            </w:r>
          </w:p>
        </w:tc>
        <w:tc>
          <w:tcPr>
            <w:tcW w:w="0" w:type="auto"/>
            <w:tcBorders>
              <w:top w:val="single" w:color="auto" w:sz="4" w:space="0"/>
              <w:bottom w:val="single" w:color="auto" w:sz="4" w:space="0"/>
            </w:tcBorders>
            <w:shd w:val="clear" w:color="auto" w:fill="auto"/>
            <w:noWrap/>
            <w:vAlign w:val="bottom"/>
            <w:hideMark/>
          </w:tcPr>
          <w:p w:rsidRPr="00F92848" w:rsidR="008202CA" w:rsidP="00062E20" w:rsidRDefault="00430AE1" w14:paraId="04A80A78" w14:textId="5E4A1241">
            <w:pPr>
              <w:spacing w:before="0" w:after="0" w:line="240" w:lineRule="auto"/>
              <w:rPr>
                <w:rFonts w:ascii="Aptos Narrow" w:hAnsi="Aptos Narrow" w:eastAsia="Times New Roman" w:cs="Times New Roman"/>
                <w:color w:val="000000"/>
                <w:sz w:val="24"/>
                <w:szCs w:val="24"/>
              </w:rPr>
            </w:pPr>
            <w:r w:rsidRPr="00F92848">
              <w:rPr>
                <w:rFonts w:ascii="Aptos Narrow" w:hAnsi="Aptos Narrow" w:eastAsia="Times New Roman" w:cs="Times New Roman"/>
                <w:color w:val="000000"/>
                <w:sz w:val="24"/>
                <w:szCs w:val="24"/>
              </w:rPr>
              <w:t>ACUE</w:t>
            </w:r>
            <w:r w:rsidRPr="00F92848" w:rsidR="008202CA">
              <w:rPr>
                <w:rFonts w:ascii="Aptos Narrow" w:hAnsi="Aptos Narrow" w:eastAsia="Times New Roman" w:cs="Times New Roman"/>
                <w:color w:val="000000"/>
                <w:sz w:val="24"/>
                <w:szCs w:val="24"/>
              </w:rPr>
              <w:t xml:space="preserve"> M</w:t>
            </w:r>
          </w:p>
        </w:tc>
        <w:tc>
          <w:tcPr>
            <w:tcW w:w="0" w:type="auto"/>
            <w:tcBorders>
              <w:top w:val="single" w:color="auto" w:sz="4" w:space="0"/>
              <w:bottom w:val="single" w:color="auto" w:sz="4" w:space="0"/>
            </w:tcBorders>
            <w:shd w:val="clear" w:color="auto" w:fill="auto"/>
            <w:noWrap/>
            <w:vAlign w:val="bottom"/>
            <w:hideMark/>
          </w:tcPr>
          <w:p w:rsidRPr="00F92848" w:rsidR="008202CA" w:rsidP="00062E20" w:rsidRDefault="008202CA" w14:paraId="3DA64767" w14:textId="6C8EDA07">
            <w:pPr>
              <w:spacing w:before="0" w:after="0" w:line="240" w:lineRule="auto"/>
              <w:rPr>
                <w:rFonts w:ascii="Aptos Narrow" w:hAnsi="Aptos Narrow" w:eastAsia="Times New Roman" w:cs="Times New Roman"/>
                <w:color w:val="000000"/>
                <w:sz w:val="24"/>
                <w:szCs w:val="24"/>
              </w:rPr>
            </w:pPr>
            <w:r w:rsidRPr="00F92848">
              <w:rPr>
                <w:rFonts w:ascii="Aptos Narrow" w:hAnsi="Aptos Narrow" w:eastAsia="Times New Roman" w:cs="Times New Roman"/>
                <w:color w:val="000000"/>
                <w:sz w:val="24"/>
                <w:szCs w:val="24"/>
              </w:rPr>
              <w:t>Non-</w:t>
            </w:r>
            <w:r w:rsidRPr="00F92848" w:rsidR="00430AE1">
              <w:rPr>
                <w:rFonts w:ascii="Aptos Narrow" w:hAnsi="Aptos Narrow" w:eastAsia="Times New Roman" w:cs="Times New Roman"/>
                <w:color w:val="000000"/>
                <w:sz w:val="24"/>
                <w:szCs w:val="24"/>
              </w:rPr>
              <w:t>ACUE</w:t>
            </w:r>
            <w:r w:rsidRPr="00F92848">
              <w:rPr>
                <w:rFonts w:ascii="Aptos Narrow" w:hAnsi="Aptos Narrow" w:eastAsia="Times New Roman" w:cs="Times New Roman"/>
                <w:color w:val="000000"/>
                <w:sz w:val="24"/>
                <w:szCs w:val="24"/>
              </w:rPr>
              <w:t xml:space="preserve"> M</w:t>
            </w:r>
          </w:p>
        </w:tc>
        <w:tc>
          <w:tcPr>
            <w:tcW w:w="0" w:type="auto"/>
            <w:tcBorders>
              <w:top w:val="single" w:color="auto" w:sz="4" w:space="0"/>
              <w:bottom w:val="single" w:color="auto" w:sz="4" w:space="0"/>
            </w:tcBorders>
            <w:shd w:val="clear" w:color="auto" w:fill="auto"/>
            <w:noWrap/>
            <w:vAlign w:val="bottom"/>
            <w:hideMark/>
          </w:tcPr>
          <w:p w:rsidRPr="00F92848" w:rsidR="008202CA" w:rsidP="00062E20" w:rsidRDefault="008202CA" w14:paraId="2F0E21E5" w14:textId="77777777">
            <w:pPr>
              <w:spacing w:before="0" w:after="0" w:line="240" w:lineRule="auto"/>
              <w:rPr>
                <w:rFonts w:ascii="Aptos Narrow" w:hAnsi="Aptos Narrow" w:eastAsia="Times New Roman" w:cs="Times New Roman"/>
                <w:color w:val="000000"/>
                <w:sz w:val="24"/>
                <w:szCs w:val="24"/>
              </w:rPr>
            </w:pPr>
            <w:r w:rsidRPr="00F92848">
              <w:rPr>
                <w:rFonts w:ascii="Aptos Narrow" w:hAnsi="Aptos Narrow" w:eastAsia="Times New Roman" w:cs="Times New Roman"/>
                <w:color w:val="000000"/>
                <w:sz w:val="24"/>
                <w:szCs w:val="24"/>
              </w:rPr>
              <w:t>d</w:t>
            </w:r>
          </w:p>
        </w:tc>
      </w:tr>
      <w:tr w:rsidRPr="00F92848" w:rsidR="008202CA" w:rsidTr="00FB083D" w14:paraId="548D8903" w14:textId="77777777">
        <w:trPr>
          <w:trHeight w:val="288"/>
        </w:trPr>
        <w:tc>
          <w:tcPr>
            <w:tcW w:w="0" w:type="auto"/>
            <w:tcBorders>
              <w:top w:val="single" w:color="auto" w:sz="4" w:space="0"/>
            </w:tcBorders>
            <w:shd w:val="clear" w:color="auto" w:fill="auto"/>
            <w:noWrap/>
            <w:vAlign w:val="bottom"/>
            <w:hideMark/>
          </w:tcPr>
          <w:p w:rsidRPr="00F92848" w:rsidR="008202CA" w:rsidP="008202CA" w:rsidRDefault="008202CA" w14:paraId="107F0756" w14:textId="5F6CE589">
            <w:pPr>
              <w:spacing w:before="0" w:after="0" w:line="240" w:lineRule="auto"/>
              <w:rPr>
                <w:rFonts w:ascii="Aptos Narrow" w:hAnsi="Aptos Narrow" w:eastAsia="Times New Roman" w:cs="Times New Roman"/>
                <w:color w:val="000000"/>
                <w:sz w:val="24"/>
                <w:szCs w:val="24"/>
              </w:rPr>
            </w:pPr>
            <w:r w:rsidRPr="00F92848">
              <w:rPr>
                <w:rFonts w:ascii="Aptos Narrow" w:hAnsi="Aptos Narrow" w:eastAsia="Times New Roman" w:cs="Times New Roman"/>
                <w:color w:val="000000"/>
                <w:sz w:val="24"/>
                <w:szCs w:val="24"/>
              </w:rPr>
              <w:t>Department</w:t>
            </w:r>
          </w:p>
        </w:tc>
        <w:tc>
          <w:tcPr>
            <w:tcW w:w="0" w:type="auto"/>
            <w:tcBorders>
              <w:top w:val="single" w:color="auto" w:sz="4" w:space="0"/>
            </w:tcBorders>
            <w:shd w:val="clear" w:color="auto" w:fill="auto"/>
            <w:noWrap/>
            <w:hideMark/>
          </w:tcPr>
          <w:p w:rsidRPr="00F92848" w:rsidR="008202CA" w:rsidP="00062E20" w:rsidRDefault="008202CA" w14:paraId="7449307A" w14:textId="308091B2">
            <w:pPr>
              <w:spacing w:before="0" w:after="0" w:line="240" w:lineRule="auto"/>
              <w:rPr>
                <w:rFonts w:ascii="Aptos Narrow" w:hAnsi="Aptos Narrow" w:eastAsia="Times New Roman" w:cs="Times New Roman"/>
                <w:color w:val="000000"/>
                <w:sz w:val="24"/>
                <w:szCs w:val="24"/>
              </w:rPr>
            </w:pPr>
            <w:r w:rsidRPr="00F92848">
              <w:rPr>
                <w:sz w:val="24"/>
                <w:szCs w:val="24"/>
              </w:rPr>
              <w:t>34.</w:t>
            </w:r>
            <w:r w:rsidRPr="00F92848" w:rsidR="002D6AD0">
              <w:rPr>
                <w:sz w:val="24"/>
                <w:szCs w:val="24"/>
              </w:rPr>
              <w:t>84</w:t>
            </w:r>
          </w:p>
        </w:tc>
        <w:tc>
          <w:tcPr>
            <w:tcW w:w="0" w:type="auto"/>
            <w:tcBorders>
              <w:top w:val="single" w:color="auto" w:sz="4" w:space="0"/>
            </w:tcBorders>
            <w:shd w:val="clear" w:color="auto" w:fill="auto"/>
            <w:noWrap/>
            <w:hideMark/>
          </w:tcPr>
          <w:p w:rsidRPr="00F92848" w:rsidR="008202CA" w:rsidP="00062E20" w:rsidRDefault="008202CA" w14:paraId="36D5A80A" w14:textId="0616A543">
            <w:pPr>
              <w:spacing w:before="0" w:after="0" w:line="240" w:lineRule="auto"/>
              <w:rPr>
                <w:rFonts w:ascii="Aptos Narrow" w:hAnsi="Aptos Narrow" w:eastAsia="Times New Roman" w:cs="Times New Roman"/>
                <w:color w:val="000000"/>
                <w:sz w:val="24"/>
                <w:szCs w:val="24"/>
              </w:rPr>
            </w:pPr>
            <w:r w:rsidRPr="00F92848">
              <w:rPr>
                <w:sz w:val="24"/>
                <w:szCs w:val="24"/>
              </w:rPr>
              <w:t>36.</w:t>
            </w:r>
            <w:r w:rsidRPr="00F92848" w:rsidR="002D6AD0">
              <w:rPr>
                <w:sz w:val="24"/>
                <w:szCs w:val="24"/>
              </w:rPr>
              <w:t>40</w:t>
            </w:r>
          </w:p>
        </w:tc>
        <w:tc>
          <w:tcPr>
            <w:tcW w:w="0" w:type="auto"/>
            <w:tcBorders>
              <w:top w:val="single" w:color="auto" w:sz="4" w:space="0"/>
            </w:tcBorders>
            <w:shd w:val="clear" w:color="auto" w:fill="auto"/>
            <w:noWrap/>
            <w:hideMark/>
          </w:tcPr>
          <w:p w:rsidRPr="00F92848" w:rsidR="008202CA" w:rsidP="00062E20" w:rsidRDefault="008202CA" w14:paraId="3D9C5AE1" w14:textId="6DBC1218">
            <w:pPr>
              <w:spacing w:before="0" w:after="0" w:line="240" w:lineRule="auto"/>
              <w:rPr>
                <w:rFonts w:ascii="Aptos Narrow" w:hAnsi="Aptos Narrow" w:eastAsia="Times New Roman" w:cs="Times New Roman"/>
                <w:color w:val="000000"/>
                <w:sz w:val="24"/>
                <w:szCs w:val="24"/>
              </w:rPr>
            </w:pPr>
            <w:r w:rsidRPr="00F92848">
              <w:rPr>
                <w:sz w:val="24"/>
                <w:szCs w:val="24"/>
              </w:rPr>
              <w:t>-0.</w:t>
            </w:r>
            <w:r w:rsidRPr="00F92848" w:rsidR="002D6AD0">
              <w:rPr>
                <w:sz w:val="24"/>
                <w:szCs w:val="24"/>
              </w:rPr>
              <w:t>10</w:t>
            </w:r>
          </w:p>
        </w:tc>
        <w:tc>
          <w:tcPr>
            <w:tcW w:w="0" w:type="auto"/>
            <w:tcBorders>
              <w:top w:val="single" w:color="auto" w:sz="4" w:space="0"/>
            </w:tcBorders>
            <w:shd w:val="clear" w:color="auto" w:fill="auto"/>
            <w:noWrap/>
            <w:hideMark/>
          </w:tcPr>
          <w:p w:rsidRPr="00F92848" w:rsidR="008202CA" w:rsidP="00062E20" w:rsidRDefault="008202CA" w14:paraId="32573C03" w14:textId="55571984">
            <w:pPr>
              <w:spacing w:before="0" w:after="0" w:line="240" w:lineRule="auto"/>
              <w:rPr>
                <w:rFonts w:ascii="Aptos Narrow" w:hAnsi="Aptos Narrow" w:eastAsia="Times New Roman" w:cs="Times New Roman"/>
                <w:color w:val="000000"/>
                <w:sz w:val="24"/>
                <w:szCs w:val="24"/>
              </w:rPr>
            </w:pPr>
            <w:r w:rsidRPr="00F92848">
              <w:rPr>
                <w:sz w:val="24"/>
                <w:szCs w:val="24"/>
              </w:rPr>
              <w:t>35.</w:t>
            </w:r>
            <w:r w:rsidRPr="00F92848" w:rsidR="002D6AD0">
              <w:rPr>
                <w:sz w:val="24"/>
                <w:szCs w:val="24"/>
              </w:rPr>
              <w:t>02</w:t>
            </w:r>
          </w:p>
        </w:tc>
        <w:tc>
          <w:tcPr>
            <w:tcW w:w="0" w:type="auto"/>
            <w:tcBorders>
              <w:top w:val="single" w:color="auto" w:sz="4" w:space="0"/>
            </w:tcBorders>
            <w:shd w:val="clear" w:color="auto" w:fill="auto"/>
            <w:noWrap/>
            <w:hideMark/>
          </w:tcPr>
          <w:p w:rsidRPr="00F92848" w:rsidR="008202CA" w:rsidP="00062E20" w:rsidRDefault="008202CA" w14:paraId="57A60380" w14:textId="4694DAF5">
            <w:pPr>
              <w:spacing w:before="0" w:after="0" w:line="240" w:lineRule="auto"/>
              <w:rPr>
                <w:rFonts w:ascii="Aptos Narrow" w:hAnsi="Aptos Narrow" w:eastAsia="Times New Roman" w:cs="Times New Roman"/>
                <w:color w:val="000000"/>
                <w:sz w:val="24"/>
                <w:szCs w:val="24"/>
              </w:rPr>
            </w:pPr>
            <w:r w:rsidRPr="00F92848">
              <w:rPr>
                <w:sz w:val="24"/>
                <w:szCs w:val="24"/>
              </w:rPr>
              <w:t>33.</w:t>
            </w:r>
            <w:r w:rsidRPr="00F92848" w:rsidR="002D6AD0">
              <w:rPr>
                <w:sz w:val="24"/>
                <w:szCs w:val="24"/>
              </w:rPr>
              <w:t>94</w:t>
            </w:r>
          </w:p>
        </w:tc>
        <w:tc>
          <w:tcPr>
            <w:tcW w:w="0" w:type="auto"/>
            <w:tcBorders>
              <w:top w:val="single" w:color="auto" w:sz="4" w:space="0"/>
            </w:tcBorders>
            <w:shd w:val="clear" w:color="auto" w:fill="auto"/>
            <w:noWrap/>
            <w:hideMark/>
          </w:tcPr>
          <w:p w:rsidRPr="00F92848" w:rsidR="008202CA" w:rsidP="00062E20" w:rsidRDefault="008202CA" w14:paraId="16E1191F" w14:textId="4D850875">
            <w:pPr>
              <w:spacing w:before="0" w:after="0" w:line="240" w:lineRule="auto"/>
              <w:rPr>
                <w:rFonts w:ascii="Aptos Narrow" w:hAnsi="Aptos Narrow" w:eastAsia="Times New Roman" w:cs="Times New Roman"/>
                <w:color w:val="000000"/>
                <w:sz w:val="24"/>
                <w:szCs w:val="24"/>
              </w:rPr>
            </w:pPr>
            <w:r w:rsidRPr="00F92848">
              <w:rPr>
                <w:sz w:val="24"/>
                <w:szCs w:val="24"/>
              </w:rPr>
              <w:t>0.</w:t>
            </w:r>
            <w:r w:rsidRPr="00F92848" w:rsidR="002D6AD0">
              <w:rPr>
                <w:sz w:val="24"/>
                <w:szCs w:val="24"/>
              </w:rPr>
              <w:t>07</w:t>
            </w:r>
          </w:p>
        </w:tc>
      </w:tr>
      <w:tr w:rsidRPr="00F92848" w:rsidR="008202CA" w:rsidTr="00FB083D" w14:paraId="7F85F448" w14:textId="77777777">
        <w:trPr>
          <w:trHeight w:val="288"/>
        </w:trPr>
        <w:tc>
          <w:tcPr>
            <w:tcW w:w="0" w:type="auto"/>
            <w:shd w:val="clear" w:color="auto" w:fill="auto"/>
            <w:noWrap/>
            <w:vAlign w:val="bottom"/>
            <w:hideMark/>
          </w:tcPr>
          <w:p w:rsidRPr="00F92848" w:rsidR="008202CA" w:rsidP="008202CA" w:rsidRDefault="008202CA" w14:paraId="54CE0E42" w14:textId="6FAEACE8">
            <w:pPr>
              <w:spacing w:before="0" w:after="0" w:line="240" w:lineRule="auto"/>
              <w:rPr>
                <w:rFonts w:ascii="Aptos Narrow" w:hAnsi="Aptos Narrow" w:eastAsia="Times New Roman" w:cs="Times New Roman"/>
                <w:color w:val="000000"/>
                <w:sz w:val="24"/>
                <w:szCs w:val="24"/>
              </w:rPr>
            </w:pPr>
            <w:r w:rsidRPr="00F92848">
              <w:rPr>
                <w:rFonts w:ascii="Aptos Narrow" w:hAnsi="Aptos Narrow" w:eastAsia="Times New Roman" w:cs="Times New Roman"/>
                <w:color w:val="000000"/>
                <w:sz w:val="24"/>
                <w:szCs w:val="24"/>
              </w:rPr>
              <w:t>Race</w:t>
            </w:r>
          </w:p>
        </w:tc>
        <w:tc>
          <w:tcPr>
            <w:tcW w:w="0" w:type="auto"/>
            <w:shd w:val="clear" w:color="auto" w:fill="auto"/>
            <w:noWrap/>
            <w:hideMark/>
          </w:tcPr>
          <w:p w:rsidRPr="00F92848" w:rsidR="008202CA" w:rsidP="00062E20" w:rsidRDefault="008202CA" w14:paraId="0005CF79" w14:textId="0771DC75">
            <w:pPr>
              <w:spacing w:before="0" w:after="0" w:line="240" w:lineRule="auto"/>
              <w:rPr>
                <w:rFonts w:ascii="Aptos Narrow" w:hAnsi="Aptos Narrow" w:eastAsia="Times New Roman" w:cs="Times New Roman"/>
                <w:color w:val="000000"/>
                <w:sz w:val="24"/>
                <w:szCs w:val="24"/>
              </w:rPr>
            </w:pPr>
            <w:r w:rsidRPr="00F92848">
              <w:rPr>
                <w:sz w:val="24"/>
                <w:szCs w:val="24"/>
              </w:rPr>
              <w:t>7.</w:t>
            </w:r>
            <w:r w:rsidRPr="00F92848" w:rsidR="002D6AD0">
              <w:rPr>
                <w:sz w:val="24"/>
                <w:szCs w:val="24"/>
              </w:rPr>
              <w:t>66</w:t>
            </w:r>
          </w:p>
        </w:tc>
        <w:tc>
          <w:tcPr>
            <w:tcW w:w="0" w:type="auto"/>
            <w:shd w:val="clear" w:color="auto" w:fill="auto"/>
            <w:noWrap/>
            <w:hideMark/>
          </w:tcPr>
          <w:p w:rsidRPr="00F92848" w:rsidR="008202CA" w:rsidP="00062E20" w:rsidRDefault="008202CA" w14:paraId="79F51218" w14:textId="00485CC3">
            <w:pPr>
              <w:spacing w:before="0" w:after="0" w:line="240" w:lineRule="auto"/>
              <w:rPr>
                <w:rFonts w:ascii="Aptos Narrow" w:hAnsi="Aptos Narrow" w:eastAsia="Times New Roman" w:cs="Times New Roman"/>
                <w:color w:val="000000"/>
                <w:sz w:val="24"/>
                <w:szCs w:val="24"/>
              </w:rPr>
            </w:pPr>
            <w:r w:rsidRPr="00F92848">
              <w:rPr>
                <w:sz w:val="24"/>
                <w:szCs w:val="24"/>
              </w:rPr>
              <w:t>7.</w:t>
            </w:r>
            <w:r w:rsidRPr="00F92848" w:rsidR="002D6AD0">
              <w:rPr>
                <w:sz w:val="24"/>
                <w:szCs w:val="24"/>
              </w:rPr>
              <w:t>66</w:t>
            </w:r>
          </w:p>
        </w:tc>
        <w:tc>
          <w:tcPr>
            <w:tcW w:w="0" w:type="auto"/>
            <w:shd w:val="clear" w:color="auto" w:fill="auto"/>
            <w:noWrap/>
            <w:hideMark/>
          </w:tcPr>
          <w:p w:rsidRPr="00F92848" w:rsidR="008202CA" w:rsidP="00062E20" w:rsidRDefault="008202CA" w14:paraId="49C42B50" w14:textId="7A0C9920">
            <w:pPr>
              <w:spacing w:before="0" w:after="0" w:line="240" w:lineRule="auto"/>
              <w:rPr>
                <w:rFonts w:ascii="Aptos Narrow" w:hAnsi="Aptos Narrow" w:eastAsia="Times New Roman" w:cs="Times New Roman"/>
                <w:color w:val="000000"/>
                <w:sz w:val="24"/>
                <w:szCs w:val="24"/>
              </w:rPr>
            </w:pPr>
            <w:r w:rsidRPr="00F92848">
              <w:rPr>
                <w:sz w:val="24"/>
                <w:szCs w:val="24"/>
              </w:rPr>
              <w:t>0.</w:t>
            </w:r>
            <w:r w:rsidRPr="00F92848" w:rsidR="002D6AD0">
              <w:rPr>
                <w:sz w:val="24"/>
                <w:szCs w:val="24"/>
              </w:rPr>
              <w:t>00</w:t>
            </w:r>
          </w:p>
        </w:tc>
        <w:tc>
          <w:tcPr>
            <w:tcW w:w="0" w:type="auto"/>
            <w:shd w:val="clear" w:color="auto" w:fill="auto"/>
            <w:noWrap/>
            <w:hideMark/>
          </w:tcPr>
          <w:p w:rsidRPr="00F92848" w:rsidR="008202CA" w:rsidP="00062E20" w:rsidRDefault="008202CA" w14:paraId="05BE88CA" w14:textId="58E9E170">
            <w:pPr>
              <w:spacing w:before="0" w:after="0" w:line="240" w:lineRule="auto"/>
              <w:rPr>
                <w:rFonts w:ascii="Aptos Narrow" w:hAnsi="Aptos Narrow" w:eastAsia="Times New Roman" w:cs="Times New Roman"/>
                <w:color w:val="000000"/>
                <w:sz w:val="24"/>
                <w:szCs w:val="24"/>
              </w:rPr>
            </w:pPr>
            <w:r w:rsidRPr="00F92848">
              <w:rPr>
                <w:sz w:val="24"/>
                <w:szCs w:val="24"/>
              </w:rPr>
              <w:t>7.</w:t>
            </w:r>
            <w:r w:rsidRPr="00F92848" w:rsidR="002D6AD0">
              <w:rPr>
                <w:sz w:val="24"/>
                <w:szCs w:val="24"/>
              </w:rPr>
              <w:t>65</w:t>
            </w:r>
          </w:p>
        </w:tc>
        <w:tc>
          <w:tcPr>
            <w:tcW w:w="0" w:type="auto"/>
            <w:shd w:val="clear" w:color="auto" w:fill="auto"/>
            <w:noWrap/>
            <w:hideMark/>
          </w:tcPr>
          <w:p w:rsidRPr="00F92848" w:rsidR="008202CA" w:rsidP="00062E20" w:rsidRDefault="008202CA" w14:paraId="79924FFF" w14:textId="383EC6B8">
            <w:pPr>
              <w:spacing w:before="0" w:after="0" w:line="240" w:lineRule="auto"/>
              <w:rPr>
                <w:rFonts w:ascii="Aptos Narrow" w:hAnsi="Aptos Narrow" w:eastAsia="Times New Roman" w:cs="Times New Roman"/>
                <w:color w:val="000000"/>
                <w:sz w:val="24"/>
                <w:szCs w:val="24"/>
              </w:rPr>
            </w:pPr>
            <w:r w:rsidRPr="00F92848">
              <w:rPr>
                <w:sz w:val="24"/>
                <w:szCs w:val="24"/>
              </w:rPr>
              <w:t>7.</w:t>
            </w:r>
            <w:r w:rsidRPr="00F92848" w:rsidR="002D6AD0">
              <w:rPr>
                <w:sz w:val="24"/>
                <w:szCs w:val="24"/>
              </w:rPr>
              <w:t>66</w:t>
            </w:r>
          </w:p>
        </w:tc>
        <w:tc>
          <w:tcPr>
            <w:tcW w:w="0" w:type="auto"/>
            <w:shd w:val="clear" w:color="auto" w:fill="auto"/>
            <w:noWrap/>
            <w:hideMark/>
          </w:tcPr>
          <w:p w:rsidRPr="00F92848" w:rsidR="008202CA" w:rsidP="00062E20" w:rsidRDefault="008202CA" w14:paraId="7D13E6B0" w14:textId="33F6E184">
            <w:pPr>
              <w:spacing w:before="0" w:after="0" w:line="240" w:lineRule="auto"/>
              <w:rPr>
                <w:rFonts w:ascii="Aptos Narrow" w:hAnsi="Aptos Narrow" w:eastAsia="Times New Roman" w:cs="Times New Roman"/>
                <w:color w:val="000000"/>
                <w:sz w:val="24"/>
                <w:szCs w:val="24"/>
              </w:rPr>
            </w:pPr>
            <w:r w:rsidRPr="00F92848">
              <w:rPr>
                <w:sz w:val="24"/>
                <w:szCs w:val="24"/>
              </w:rPr>
              <w:t>0.</w:t>
            </w:r>
            <w:r w:rsidRPr="00F92848" w:rsidR="002D6AD0">
              <w:rPr>
                <w:sz w:val="24"/>
                <w:szCs w:val="24"/>
              </w:rPr>
              <w:t>00</w:t>
            </w:r>
          </w:p>
        </w:tc>
      </w:tr>
      <w:tr w:rsidRPr="00F92848" w:rsidR="008202CA" w:rsidTr="00FB083D" w14:paraId="5C9E0891" w14:textId="77777777">
        <w:trPr>
          <w:trHeight w:val="288"/>
        </w:trPr>
        <w:tc>
          <w:tcPr>
            <w:tcW w:w="0" w:type="auto"/>
            <w:shd w:val="clear" w:color="auto" w:fill="auto"/>
            <w:noWrap/>
            <w:vAlign w:val="bottom"/>
            <w:hideMark/>
          </w:tcPr>
          <w:p w:rsidRPr="00F92848" w:rsidR="008202CA" w:rsidP="008202CA" w:rsidRDefault="008202CA" w14:paraId="50F96238" w14:textId="1B2C2EF4">
            <w:pPr>
              <w:spacing w:before="0" w:after="0" w:line="240" w:lineRule="auto"/>
              <w:rPr>
                <w:rFonts w:ascii="Aptos Narrow" w:hAnsi="Aptos Narrow" w:eastAsia="Times New Roman" w:cs="Times New Roman"/>
                <w:color w:val="000000"/>
                <w:sz w:val="24"/>
                <w:szCs w:val="24"/>
              </w:rPr>
            </w:pPr>
            <w:r w:rsidRPr="00F92848">
              <w:rPr>
                <w:rFonts w:ascii="Aptos Narrow" w:hAnsi="Aptos Narrow" w:eastAsia="Times New Roman" w:cs="Times New Roman"/>
                <w:color w:val="000000"/>
                <w:sz w:val="24"/>
                <w:szCs w:val="24"/>
              </w:rPr>
              <w:t>Gender</w:t>
            </w:r>
          </w:p>
        </w:tc>
        <w:tc>
          <w:tcPr>
            <w:tcW w:w="0" w:type="auto"/>
            <w:shd w:val="clear" w:color="auto" w:fill="auto"/>
            <w:noWrap/>
            <w:hideMark/>
          </w:tcPr>
          <w:p w:rsidRPr="00F92848" w:rsidR="008202CA" w:rsidP="00062E20" w:rsidRDefault="008202CA" w14:paraId="0A39E61F" w14:textId="3B306254">
            <w:pPr>
              <w:spacing w:before="0" w:after="0" w:line="240" w:lineRule="auto"/>
              <w:rPr>
                <w:rFonts w:ascii="Aptos Narrow" w:hAnsi="Aptos Narrow" w:eastAsia="Times New Roman" w:cs="Times New Roman"/>
                <w:color w:val="000000"/>
                <w:sz w:val="24"/>
                <w:szCs w:val="24"/>
              </w:rPr>
            </w:pPr>
            <w:r w:rsidRPr="00F92848">
              <w:rPr>
                <w:sz w:val="24"/>
                <w:szCs w:val="24"/>
              </w:rPr>
              <w:t>2.</w:t>
            </w:r>
            <w:r w:rsidRPr="00F92848" w:rsidR="002D6AD0">
              <w:rPr>
                <w:sz w:val="24"/>
                <w:szCs w:val="24"/>
              </w:rPr>
              <w:t>35</w:t>
            </w:r>
          </w:p>
        </w:tc>
        <w:tc>
          <w:tcPr>
            <w:tcW w:w="0" w:type="auto"/>
            <w:shd w:val="clear" w:color="auto" w:fill="auto"/>
            <w:noWrap/>
            <w:hideMark/>
          </w:tcPr>
          <w:p w:rsidRPr="00F92848" w:rsidR="008202CA" w:rsidP="00062E20" w:rsidRDefault="008202CA" w14:paraId="6A3DFCB0" w14:textId="075DCD1C">
            <w:pPr>
              <w:spacing w:before="0" w:after="0" w:line="240" w:lineRule="auto"/>
              <w:rPr>
                <w:rFonts w:ascii="Aptos Narrow" w:hAnsi="Aptos Narrow" w:eastAsia="Times New Roman" w:cs="Times New Roman"/>
                <w:color w:val="000000"/>
                <w:sz w:val="24"/>
                <w:szCs w:val="24"/>
              </w:rPr>
            </w:pPr>
            <w:r w:rsidRPr="00F92848">
              <w:rPr>
                <w:sz w:val="24"/>
                <w:szCs w:val="24"/>
              </w:rPr>
              <w:t>2.</w:t>
            </w:r>
            <w:r w:rsidRPr="00F92848" w:rsidR="002D6AD0">
              <w:rPr>
                <w:sz w:val="24"/>
                <w:szCs w:val="24"/>
              </w:rPr>
              <w:t>44</w:t>
            </w:r>
          </w:p>
        </w:tc>
        <w:tc>
          <w:tcPr>
            <w:tcW w:w="0" w:type="auto"/>
            <w:shd w:val="clear" w:color="auto" w:fill="auto"/>
            <w:noWrap/>
            <w:hideMark/>
          </w:tcPr>
          <w:p w:rsidRPr="00F92848" w:rsidR="008202CA" w:rsidP="00062E20" w:rsidRDefault="008202CA" w14:paraId="6713EC70" w14:textId="6BD0544C">
            <w:pPr>
              <w:spacing w:before="0" w:after="0" w:line="240" w:lineRule="auto"/>
              <w:rPr>
                <w:rFonts w:ascii="Aptos Narrow" w:hAnsi="Aptos Narrow" w:eastAsia="Times New Roman" w:cs="Times New Roman"/>
                <w:color w:val="000000"/>
                <w:sz w:val="24"/>
                <w:szCs w:val="24"/>
              </w:rPr>
            </w:pPr>
            <w:r w:rsidRPr="00F92848">
              <w:rPr>
                <w:sz w:val="24"/>
                <w:szCs w:val="24"/>
              </w:rPr>
              <w:t>-0.</w:t>
            </w:r>
            <w:r w:rsidRPr="00F92848" w:rsidR="002D6AD0">
              <w:rPr>
                <w:sz w:val="24"/>
                <w:szCs w:val="24"/>
              </w:rPr>
              <w:t>18</w:t>
            </w:r>
          </w:p>
        </w:tc>
        <w:tc>
          <w:tcPr>
            <w:tcW w:w="0" w:type="auto"/>
            <w:shd w:val="clear" w:color="auto" w:fill="auto"/>
            <w:noWrap/>
            <w:hideMark/>
          </w:tcPr>
          <w:p w:rsidRPr="00F92848" w:rsidR="008202CA" w:rsidP="00062E20" w:rsidRDefault="008202CA" w14:paraId="0262723D" w14:textId="2F842896">
            <w:pPr>
              <w:spacing w:before="0" w:after="0" w:line="240" w:lineRule="auto"/>
              <w:rPr>
                <w:rFonts w:ascii="Aptos Narrow" w:hAnsi="Aptos Narrow" w:eastAsia="Times New Roman" w:cs="Times New Roman"/>
                <w:color w:val="000000"/>
                <w:sz w:val="24"/>
                <w:szCs w:val="24"/>
              </w:rPr>
            </w:pPr>
            <w:r w:rsidRPr="00F92848">
              <w:rPr>
                <w:sz w:val="24"/>
                <w:szCs w:val="24"/>
              </w:rPr>
              <w:t>2.</w:t>
            </w:r>
            <w:r w:rsidRPr="00F92848" w:rsidR="002D6AD0">
              <w:rPr>
                <w:sz w:val="24"/>
                <w:szCs w:val="24"/>
              </w:rPr>
              <w:t>35</w:t>
            </w:r>
          </w:p>
        </w:tc>
        <w:tc>
          <w:tcPr>
            <w:tcW w:w="0" w:type="auto"/>
            <w:shd w:val="clear" w:color="auto" w:fill="auto"/>
            <w:noWrap/>
            <w:hideMark/>
          </w:tcPr>
          <w:p w:rsidRPr="00F92848" w:rsidR="008202CA" w:rsidP="00062E20" w:rsidRDefault="008202CA" w14:paraId="15C530B4" w14:textId="6E4513F4">
            <w:pPr>
              <w:spacing w:before="0" w:after="0" w:line="240" w:lineRule="auto"/>
              <w:rPr>
                <w:rFonts w:ascii="Aptos Narrow" w:hAnsi="Aptos Narrow" w:eastAsia="Times New Roman" w:cs="Times New Roman"/>
                <w:color w:val="000000"/>
                <w:sz w:val="24"/>
                <w:szCs w:val="24"/>
              </w:rPr>
            </w:pPr>
            <w:r w:rsidRPr="00F92848">
              <w:rPr>
                <w:sz w:val="24"/>
                <w:szCs w:val="24"/>
              </w:rPr>
              <w:t>2.</w:t>
            </w:r>
            <w:r w:rsidRPr="00F92848" w:rsidR="002D6AD0">
              <w:rPr>
                <w:sz w:val="24"/>
                <w:szCs w:val="24"/>
              </w:rPr>
              <w:t>38</w:t>
            </w:r>
          </w:p>
        </w:tc>
        <w:tc>
          <w:tcPr>
            <w:tcW w:w="0" w:type="auto"/>
            <w:shd w:val="clear" w:color="auto" w:fill="auto"/>
            <w:noWrap/>
            <w:hideMark/>
          </w:tcPr>
          <w:p w:rsidRPr="00F92848" w:rsidR="008202CA" w:rsidP="00062E20" w:rsidRDefault="008202CA" w14:paraId="48EA391E" w14:textId="1502CB8D">
            <w:pPr>
              <w:spacing w:before="0" w:after="0" w:line="240" w:lineRule="auto"/>
              <w:rPr>
                <w:rFonts w:ascii="Aptos Narrow" w:hAnsi="Aptos Narrow" w:eastAsia="Times New Roman" w:cs="Times New Roman"/>
                <w:color w:val="000000"/>
                <w:sz w:val="24"/>
                <w:szCs w:val="24"/>
              </w:rPr>
            </w:pPr>
            <w:r w:rsidRPr="00F92848">
              <w:rPr>
                <w:sz w:val="24"/>
                <w:szCs w:val="24"/>
              </w:rPr>
              <w:t>-0.</w:t>
            </w:r>
            <w:r w:rsidRPr="00F92848" w:rsidR="002D6AD0">
              <w:rPr>
                <w:sz w:val="24"/>
                <w:szCs w:val="24"/>
              </w:rPr>
              <w:t>04</w:t>
            </w:r>
          </w:p>
        </w:tc>
      </w:tr>
      <w:tr w:rsidRPr="00F92848" w:rsidR="008202CA" w:rsidTr="00FB083D" w14:paraId="2BA6D78D" w14:textId="77777777">
        <w:trPr>
          <w:trHeight w:val="288"/>
        </w:trPr>
        <w:tc>
          <w:tcPr>
            <w:tcW w:w="0" w:type="auto"/>
            <w:shd w:val="clear" w:color="auto" w:fill="auto"/>
            <w:noWrap/>
            <w:vAlign w:val="bottom"/>
            <w:hideMark/>
          </w:tcPr>
          <w:p w:rsidRPr="00F92848" w:rsidR="008202CA" w:rsidP="008202CA" w:rsidRDefault="00AD06D2" w14:paraId="35BB8642" w14:textId="497EAB82">
            <w:pPr>
              <w:spacing w:before="0" w:after="0" w:line="240" w:lineRule="auto"/>
              <w:rPr>
                <w:rFonts w:ascii="Aptos Narrow" w:hAnsi="Aptos Narrow" w:eastAsia="Times New Roman" w:cs="Times New Roman"/>
                <w:color w:val="000000"/>
                <w:sz w:val="24"/>
                <w:szCs w:val="24"/>
              </w:rPr>
            </w:pPr>
            <w:r w:rsidRPr="00F92848">
              <w:rPr>
                <w:rFonts w:ascii="Aptos Narrow" w:hAnsi="Aptos Narrow" w:eastAsia="Times New Roman" w:cs="Times New Roman"/>
                <w:color w:val="000000"/>
                <w:sz w:val="24"/>
                <w:szCs w:val="24"/>
              </w:rPr>
              <w:t>Course Enrollment</w:t>
            </w:r>
          </w:p>
        </w:tc>
        <w:tc>
          <w:tcPr>
            <w:tcW w:w="0" w:type="auto"/>
            <w:shd w:val="clear" w:color="auto" w:fill="auto"/>
            <w:noWrap/>
            <w:hideMark/>
          </w:tcPr>
          <w:p w:rsidRPr="00F92848" w:rsidR="008202CA" w:rsidP="00062E20" w:rsidRDefault="008202CA" w14:paraId="761A54CF" w14:textId="002249E5">
            <w:pPr>
              <w:spacing w:before="0" w:after="0" w:line="240" w:lineRule="auto"/>
              <w:rPr>
                <w:rFonts w:ascii="Aptos Narrow" w:hAnsi="Aptos Narrow" w:eastAsia="Times New Roman" w:cs="Times New Roman"/>
                <w:color w:val="000000"/>
                <w:sz w:val="24"/>
                <w:szCs w:val="24"/>
              </w:rPr>
            </w:pPr>
            <w:r w:rsidRPr="00F92848">
              <w:rPr>
                <w:sz w:val="24"/>
                <w:szCs w:val="24"/>
              </w:rPr>
              <w:t>28.</w:t>
            </w:r>
            <w:r w:rsidRPr="00F92848" w:rsidR="002D6AD0">
              <w:rPr>
                <w:sz w:val="24"/>
                <w:szCs w:val="24"/>
              </w:rPr>
              <w:t>20</w:t>
            </w:r>
          </w:p>
        </w:tc>
        <w:tc>
          <w:tcPr>
            <w:tcW w:w="0" w:type="auto"/>
            <w:shd w:val="clear" w:color="auto" w:fill="auto"/>
            <w:noWrap/>
            <w:hideMark/>
          </w:tcPr>
          <w:p w:rsidRPr="00F92848" w:rsidR="008202CA" w:rsidP="00062E20" w:rsidRDefault="008202CA" w14:paraId="6B348A4C" w14:textId="54AC58EF">
            <w:pPr>
              <w:spacing w:before="0" w:after="0" w:line="240" w:lineRule="auto"/>
              <w:rPr>
                <w:rFonts w:ascii="Aptos Narrow" w:hAnsi="Aptos Narrow" w:eastAsia="Times New Roman" w:cs="Times New Roman"/>
                <w:color w:val="000000"/>
                <w:sz w:val="24"/>
                <w:szCs w:val="24"/>
              </w:rPr>
            </w:pPr>
            <w:r w:rsidRPr="00F92848">
              <w:rPr>
                <w:sz w:val="24"/>
                <w:szCs w:val="24"/>
              </w:rPr>
              <w:t>24.</w:t>
            </w:r>
            <w:r w:rsidRPr="00F92848" w:rsidR="002D6AD0">
              <w:rPr>
                <w:sz w:val="24"/>
                <w:szCs w:val="24"/>
              </w:rPr>
              <w:t>75</w:t>
            </w:r>
          </w:p>
        </w:tc>
        <w:tc>
          <w:tcPr>
            <w:tcW w:w="0" w:type="auto"/>
            <w:shd w:val="clear" w:color="auto" w:fill="auto"/>
            <w:noWrap/>
            <w:hideMark/>
          </w:tcPr>
          <w:p w:rsidRPr="00F92848" w:rsidR="008202CA" w:rsidP="00062E20" w:rsidRDefault="008202CA" w14:paraId="59AA849D" w14:textId="1980B595">
            <w:pPr>
              <w:spacing w:before="0" w:after="0" w:line="240" w:lineRule="auto"/>
              <w:rPr>
                <w:rFonts w:ascii="Aptos Narrow" w:hAnsi="Aptos Narrow" w:eastAsia="Times New Roman" w:cs="Times New Roman"/>
                <w:color w:val="000000"/>
                <w:sz w:val="24"/>
                <w:szCs w:val="24"/>
              </w:rPr>
            </w:pPr>
            <w:r w:rsidRPr="00F92848">
              <w:rPr>
                <w:sz w:val="24"/>
                <w:szCs w:val="24"/>
              </w:rPr>
              <w:t>0.</w:t>
            </w:r>
            <w:r w:rsidRPr="00F92848" w:rsidR="002D6AD0">
              <w:rPr>
                <w:sz w:val="24"/>
                <w:szCs w:val="24"/>
              </w:rPr>
              <w:t>13</w:t>
            </w:r>
          </w:p>
        </w:tc>
        <w:tc>
          <w:tcPr>
            <w:tcW w:w="0" w:type="auto"/>
            <w:shd w:val="clear" w:color="auto" w:fill="auto"/>
            <w:noWrap/>
            <w:hideMark/>
          </w:tcPr>
          <w:p w:rsidRPr="00F92848" w:rsidR="008202CA" w:rsidP="00062E20" w:rsidRDefault="008202CA" w14:paraId="7DAE5060" w14:textId="41FB23F2">
            <w:pPr>
              <w:spacing w:before="0" w:after="0" w:line="240" w:lineRule="auto"/>
              <w:rPr>
                <w:rFonts w:ascii="Aptos Narrow" w:hAnsi="Aptos Narrow" w:eastAsia="Times New Roman" w:cs="Times New Roman"/>
                <w:color w:val="000000"/>
                <w:sz w:val="24"/>
                <w:szCs w:val="24"/>
              </w:rPr>
            </w:pPr>
            <w:r w:rsidRPr="00F92848">
              <w:rPr>
                <w:sz w:val="24"/>
                <w:szCs w:val="24"/>
              </w:rPr>
              <w:t>27.</w:t>
            </w:r>
            <w:r w:rsidRPr="00F92848" w:rsidR="002D6AD0">
              <w:rPr>
                <w:sz w:val="24"/>
                <w:szCs w:val="24"/>
              </w:rPr>
              <w:t>31</w:t>
            </w:r>
          </w:p>
        </w:tc>
        <w:tc>
          <w:tcPr>
            <w:tcW w:w="0" w:type="auto"/>
            <w:shd w:val="clear" w:color="auto" w:fill="auto"/>
            <w:noWrap/>
            <w:hideMark/>
          </w:tcPr>
          <w:p w:rsidRPr="00F92848" w:rsidR="008202CA" w:rsidP="00062E20" w:rsidRDefault="008202CA" w14:paraId="234E6ECF" w14:textId="1871D784">
            <w:pPr>
              <w:spacing w:before="0" w:after="0" w:line="240" w:lineRule="auto"/>
              <w:rPr>
                <w:rFonts w:ascii="Aptos Narrow" w:hAnsi="Aptos Narrow" w:eastAsia="Times New Roman" w:cs="Times New Roman"/>
                <w:color w:val="000000"/>
                <w:sz w:val="24"/>
                <w:szCs w:val="24"/>
              </w:rPr>
            </w:pPr>
            <w:r w:rsidRPr="00F92848">
              <w:rPr>
                <w:sz w:val="24"/>
                <w:szCs w:val="24"/>
              </w:rPr>
              <w:t>27.</w:t>
            </w:r>
            <w:r w:rsidRPr="00F92848" w:rsidR="002D6AD0">
              <w:rPr>
                <w:sz w:val="24"/>
                <w:szCs w:val="24"/>
              </w:rPr>
              <w:t>49</w:t>
            </w:r>
          </w:p>
        </w:tc>
        <w:tc>
          <w:tcPr>
            <w:tcW w:w="0" w:type="auto"/>
            <w:shd w:val="clear" w:color="auto" w:fill="auto"/>
            <w:noWrap/>
            <w:hideMark/>
          </w:tcPr>
          <w:p w:rsidRPr="00F92848" w:rsidR="008202CA" w:rsidP="00062E20" w:rsidRDefault="008202CA" w14:paraId="12FDBF76" w14:textId="6E7C894D">
            <w:pPr>
              <w:spacing w:before="0" w:after="0" w:line="240" w:lineRule="auto"/>
              <w:rPr>
                <w:rFonts w:ascii="Aptos Narrow" w:hAnsi="Aptos Narrow" w:eastAsia="Times New Roman" w:cs="Times New Roman"/>
                <w:color w:val="000000"/>
                <w:sz w:val="24"/>
                <w:szCs w:val="24"/>
              </w:rPr>
            </w:pPr>
            <w:r w:rsidRPr="00F92848">
              <w:rPr>
                <w:sz w:val="24"/>
                <w:szCs w:val="24"/>
              </w:rPr>
              <w:t>-0.</w:t>
            </w:r>
            <w:r w:rsidRPr="00F92848" w:rsidR="002D6AD0">
              <w:rPr>
                <w:sz w:val="24"/>
                <w:szCs w:val="24"/>
              </w:rPr>
              <w:t>01</w:t>
            </w:r>
          </w:p>
        </w:tc>
      </w:tr>
    </w:tbl>
    <w:p w:rsidR="008202CA" w:rsidP="00DC61E5" w:rsidRDefault="008202CA" w14:paraId="7734A982" w14:textId="77777777">
      <w:pPr>
        <w:spacing w:before="0" w:after="160" w:line="278" w:lineRule="auto"/>
        <w:rPr>
          <w:sz w:val="24"/>
          <w:szCs w:val="24"/>
        </w:rPr>
      </w:pPr>
    </w:p>
    <w:p w:rsidRPr="00DC61E5" w:rsidR="00DC61E5" w:rsidP="00DC61E5" w:rsidRDefault="00DC61E5" w14:paraId="5B188896" w14:textId="446CD09D">
      <w:pPr>
        <w:spacing w:before="0" w:after="160" w:line="278" w:lineRule="auto"/>
        <w:rPr>
          <w:sz w:val="24"/>
          <w:szCs w:val="24"/>
        </w:rPr>
      </w:pPr>
      <w:r w:rsidRPr="00DC61E5">
        <w:rPr>
          <w:sz w:val="24"/>
          <w:szCs w:val="24"/>
        </w:rPr>
        <w:t xml:space="preserve">Descriptive analyses were conducted to examine differences in student response rates and instructor ratings across colleges and between instructors with and without ACUE training. Results are presented in Table </w:t>
      </w:r>
      <w:r w:rsidR="003078F3">
        <w:rPr>
          <w:sz w:val="24"/>
          <w:szCs w:val="24"/>
        </w:rPr>
        <w:t>2</w:t>
      </w:r>
      <w:r w:rsidRPr="00DC61E5">
        <w:rPr>
          <w:sz w:val="24"/>
          <w:szCs w:val="24"/>
        </w:rPr>
        <w:t xml:space="preserve"> (DFQ Rate) and Table </w:t>
      </w:r>
      <w:r w:rsidR="003078F3">
        <w:rPr>
          <w:sz w:val="24"/>
          <w:szCs w:val="24"/>
        </w:rPr>
        <w:t>3</w:t>
      </w:r>
      <w:r w:rsidRPr="00DC61E5">
        <w:rPr>
          <w:sz w:val="24"/>
          <w:szCs w:val="24"/>
        </w:rPr>
        <w:t xml:space="preserve"> (Excellent Teacher ratings).</w:t>
      </w:r>
    </w:p>
    <w:p w:rsidRPr="00DC61E5" w:rsidR="00DC61E5" w:rsidP="00DC61E5" w:rsidRDefault="00DC61E5" w14:paraId="573CC5FF" w14:textId="4C371416">
      <w:pPr>
        <w:spacing w:before="0" w:after="160" w:line="278" w:lineRule="auto"/>
        <w:rPr>
          <w:sz w:val="24"/>
          <w:szCs w:val="24"/>
        </w:rPr>
      </w:pPr>
      <w:r w:rsidRPr="00DC61E5">
        <w:rPr>
          <w:sz w:val="24"/>
          <w:szCs w:val="24"/>
        </w:rPr>
        <w:t>For student response rates (DFQ</w:t>
      </w:r>
      <w:r w:rsidRPr="003C42E4">
        <w:rPr>
          <w:sz w:val="24"/>
          <w:szCs w:val="24"/>
        </w:rPr>
        <w:t xml:space="preserve"> </w:t>
      </w:r>
      <w:r w:rsidRPr="00DC61E5">
        <w:rPr>
          <w:sz w:val="24"/>
          <w:szCs w:val="24"/>
        </w:rPr>
        <w:t>Rate), instructors who had not completed the ACUE training generally reported higher rates (M = 14.98%, SD = 16.43%) compared to those who had completed the training (M = 12.12%, SD = 14.30%). This trend was consistent across all colleges except for the College of Health Sciences, where the response rate was slightly higher for ACUE-trained instructors (M = 9.18%) compared to non-ACUE instructors (M = 7.17%).</w:t>
      </w:r>
    </w:p>
    <w:p w:rsidRPr="00DC61E5" w:rsidR="00DC61E5" w:rsidP="00077EF6" w:rsidRDefault="00DC61E5" w14:paraId="5D02BB6A" w14:textId="7A6131D6">
      <w:pPr>
        <w:spacing w:before="0" w:after="160" w:line="278" w:lineRule="auto"/>
        <w:rPr>
          <w:sz w:val="24"/>
          <w:szCs w:val="24"/>
        </w:rPr>
      </w:pPr>
      <w:r w:rsidRPr="00DC61E5">
        <w:rPr>
          <w:sz w:val="24"/>
          <w:szCs w:val="24"/>
        </w:rPr>
        <w:t>Regarding instructor ratings (</w:t>
      </w:r>
      <w:r w:rsidRPr="003C42E4">
        <w:rPr>
          <w:sz w:val="24"/>
          <w:szCs w:val="24"/>
        </w:rPr>
        <w:t>Excellent Teacher</w:t>
      </w:r>
      <w:r w:rsidRPr="00DC61E5">
        <w:rPr>
          <w:sz w:val="24"/>
          <w:szCs w:val="24"/>
        </w:rPr>
        <w:t>), ACUE-trained instructors received higher average ratings (M = 4.43, SD = 0.57) than non-ACUE instructors (M = 4.29, SD = 0.68). This pattern was consistent across all colleges except Health Sciences (where ratings were slightly lower) and Humanities and Social Sciences (where ratings were nearly identical). The most notable increases were observed in Science and Engineering Technology (M = 4.43 vs. 4.02), Education (M = 4.67 vs. 4.49), and Arts and Media (M = 4.66 vs. 4.43)</w:t>
      </w:r>
      <w:r w:rsidR="00077EF6">
        <w:rPr>
          <w:sz w:val="24"/>
          <w:szCs w:val="24"/>
        </w:rPr>
        <w:t xml:space="preserve">. </w:t>
      </w:r>
      <w:r w:rsidRPr="00DC61E5">
        <w:rPr>
          <w:sz w:val="24"/>
          <w:szCs w:val="24"/>
        </w:rPr>
        <w:t>These descriptive patterns complement the inferential results from the between-subjects ANOVA, which found statistically significant but small effects of ACUE training on both student response rates and instructor ratings.</w:t>
      </w:r>
    </w:p>
    <w:p w:rsidRPr="003C42E4" w:rsidR="00DC61E5" w:rsidP="00DC61E5" w:rsidRDefault="00DC61E5" w14:paraId="4CDCC9B1" w14:textId="30C6D270">
      <w:pPr>
        <w:pStyle w:val="NoSpacing"/>
        <w:rPr>
          <w:sz w:val="24"/>
          <w:szCs w:val="24"/>
        </w:rPr>
      </w:pPr>
      <w:r w:rsidRPr="003C42E4">
        <w:rPr>
          <w:sz w:val="24"/>
          <w:szCs w:val="24"/>
        </w:rPr>
        <w:lastRenderedPageBreak/>
        <w:t xml:space="preserve">Table </w:t>
      </w:r>
      <w:r w:rsidR="003078F3">
        <w:rPr>
          <w:sz w:val="24"/>
          <w:szCs w:val="24"/>
        </w:rPr>
        <w:t>2</w:t>
      </w:r>
    </w:p>
    <w:p w:rsidRPr="003C42E4" w:rsidR="003C42E4" w:rsidP="00DC61E5" w:rsidRDefault="00DC61E5" w14:paraId="277D06B8" w14:textId="7C27F6A8">
      <w:pPr>
        <w:pStyle w:val="NoSpacing"/>
        <w:rPr>
          <w:i/>
          <w:iCs/>
          <w:sz w:val="24"/>
          <w:szCs w:val="24"/>
        </w:rPr>
      </w:pPr>
      <w:r w:rsidRPr="003C42E4">
        <w:rPr>
          <w:i/>
          <w:iCs/>
          <w:sz w:val="24"/>
          <w:szCs w:val="24"/>
        </w:rPr>
        <w:t>Student DFQ</w:t>
      </w:r>
      <w:r w:rsidRPr="003C42E4" w:rsidR="00997D30">
        <w:rPr>
          <w:i/>
          <w:iCs/>
          <w:sz w:val="24"/>
          <w:szCs w:val="24"/>
        </w:rPr>
        <w:t xml:space="preserve"> Rate</w:t>
      </w:r>
      <w:r w:rsidRPr="003C42E4">
        <w:rPr>
          <w:i/>
          <w:iCs/>
          <w:sz w:val="24"/>
          <w:szCs w:val="24"/>
        </w:rPr>
        <w:t xml:space="preserve"> by College and ACUE Participation</w:t>
      </w:r>
    </w:p>
    <w:tbl>
      <w:tblPr>
        <w:tblW w:w="5000" w:type="pct"/>
        <w:tblLook w:val="04A0" w:firstRow="1" w:lastRow="0" w:firstColumn="1" w:lastColumn="0" w:noHBand="0" w:noVBand="1"/>
      </w:tblPr>
      <w:tblGrid>
        <w:gridCol w:w="4192"/>
        <w:gridCol w:w="1337"/>
        <w:gridCol w:w="1062"/>
        <w:gridCol w:w="1062"/>
        <w:gridCol w:w="1063"/>
        <w:gridCol w:w="644"/>
      </w:tblGrid>
      <w:tr w:rsidRPr="003C42E4" w:rsidR="003C42E4" w:rsidTr="000C216E" w14:paraId="2D43B03E" w14:textId="77777777">
        <w:trPr>
          <w:trHeight w:val="288"/>
        </w:trPr>
        <w:tc>
          <w:tcPr>
            <w:tcW w:w="2264" w:type="pct"/>
            <w:tcBorders>
              <w:top w:val="single" w:color="auto" w:sz="4" w:space="0"/>
              <w:left w:val="nil"/>
              <w:right w:val="nil"/>
            </w:tcBorders>
            <w:shd w:val="clear" w:color="auto" w:fill="auto"/>
            <w:noWrap/>
            <w:vAlign w:val="bottom"/>
          </w:tcPr>
          <w:p w:rsidRPr="003C42E4" w:rsidR="003C42E4" w:rsidP="008410CB" w:rsidRDefault="003C42E4" w14:paraId="23C0FC43" w14:textId="77777777">
            <w:pPr>
              <w:spacing w:after="0" w:line="240" w:lineRule="auto"/>
              <w:rPr>
                <w:rFonts w:eastAsia="Times New Roman" w:cs="Times New Roman"/>
                <w:color w:val="000000"/>
                <w:sz w:val="24"/>
                <w:szCs w:val="24"/>
              </w:rPr>
            </w:pPr>
          </w:p>
        </w:tc>
        <w:tc>
          <w:tcPr>
            <w:tcW w:w="592" w:type="pct"/>
            <w:tcBorders>
              <w:top w:val="single" w:color="auto" w:sz="4" w:space="0"/>
              <w:left w:val="nil"/>
              <w:bottom w:val="single" w:color="auto" w:sz="4" w:space="0"/>
              <w:right w:val="nil"/>
            </w:tcBorders>
            <w:shd w:val="clear" w:color="auto" w:fill="auto"/>
            <w:noWrap/>
            <w:vAlign w:val="bottom"/>
          </w:tcPr>
          <w:p w:rsidRPr="003C42E4" w:rsidR="003C42E4" w:rsidP="008410CB" w:rsidRDefault="003C42E4" w14:paraId="3D9A4937" w14:textId="7FE8DB67">
            <w:pPr>
              <w:spacing w:after="0" w:line="240" w:lineRule="auto"/>
              <w:rPr>
                <w:rFonts w:eastAsia="Times New Roman" w:cs="Times New Roman"/>
                <w:color w:val="000000"/>
                <w:sz w:val="24"/>
                <w:szCs w:val="24"/>
              </w:rPr>
            </w:pPr>
            <w:r w:rsidRPr="003C42E4">
              <w:rPr>
                <w:rFonts w:eastAsia="Times New Roman" w:cs="Times New Roman"/>
                <w:color w:val="000000"/>
                <w:sz w:val="24"/>
                <w:szCs w:val="24"/>
              </w:rPr>
              <w:t>Non-</w:t>
            </w:r>
            <w:r w:rsidR="00DB4787">
              <w:rPr>
                <w:rFonts w:eastAsia="Times New Roman" w:cs="Times New Roman"/>
                <w:color w:val="000000"/>
                <w:sz w:val="24"/>
                <w:szCs w:val="24"/>
              </w:rPr>
              <w:t>ACUE</w:t>
            </w:r>
          </w:p>
        </w:tc>
        <w:tc>
          <w:tcPr>
            <w:tcW w:w="592" w:type="pct"/>
            <w:tcBorders>
              <w:top w:val="single" w:color="auto" w:sz="4" w:space="0"/>
              <w:left w:val="nil"/>
              <w:bottom w:val="single" w:color="auto" w:sz="4" w:space="0"/>
              <w:right w:val="nil"/>
            </w:tcBorders>
            <w:shd w:val="clear" w:color="auto" w:fill="auto"/>
            <w:noWrap/>
            <w:vAlign w:val="bottom"/>
          </w:tcPr>
          <w:p w:rsidRPr="003C42E4" w:rsidR="003C42E4" w:rsidP="008410CB" w:rsidRDefault="003C42E4" w14:paraId="62F7A9A1" w14:textId="77777777">
            <w:pPr>
              <w:spacing w:after="0" w:line="240" w:lineRule="auto"/>
              <w:rPr>
                <w:rFonts w:eastAsia="Times New Roman" w:cs="Times New Roman"/>
                <w:color w:val="000000"/>
                <w:sz w:val="24"/>
                <w:szCs w:val="24"/>
              </w:rPr>
            </w:pPr>
          </w:p>
        </w:tc>
        <w:tc>
          <w:tcPr>
            <w:tcW w:w="592" w:type="pct"/>
            <w:tcBorders>
              <w:top w:val="single" w:color="auto" w:sz="4" w:space="0"/>
              <w:left w:val="nil"/>
              <w:bottom w:val="single" w:color="auto" w:sz="4" w:space="0"/>
              <w:right w:val="nil"/>
            </w:tcBorders>
            <w:shd w:val="clear" w:color="auto" w:fill="auto"/>
            <w:noWrap/>
            <w:vAlign w:val="bottom"/>
          </w:tcPr>
          <w:p w:rsidRPr="003C42E4" w:rsidR="003C42E4" w:rsidP="008410CB" w:rsidRDefault="003C42E4" w14:paraId="52337FD8" w14:textId="77777777">
            <w:pPr>
              <w:spacing w:after="0" w:line="240" w:lineRule="auto"/>
              <w:rPr>
                <w:rFonts w:eastAsia="Times New Roman" w:cs="Times New Roman"/>
                <w:color w:val="000000"/>
                <w:sz w:val="24"/>
                <w:szCs w:val="24"/>
              </w:rPr>
            </w:pPr>
          </w:p>
        </w:tc>
        <w:tc>
          <w:tcPr>
            <w:tcW w:w="592" w:type="pct"/>
            <w:tcBorders>
              <w:top w:val="single" w:color="auto" w:sz="4" w:space="0"/>
              <w:left w:val="nil"/>
              <w:bottom w:val="single" w:color="auto" w:sz="4" w:space="0"/>
              <w:right w:val="nil"/>
            </w:tcBorders>
            <w:shd w:val="clear" w:color="auto" w:fill="auto"/>
            <w:noWrap/>
            <w:vAlign w:val="bottom"/>
          </w:tcPr>
          <w:p w:rsidRPr="003C42E4" w:rsidR="003C42E4" w:rsidP="008410CB" w:rsidRDefault="00DB4787" w14:paraId="1CBC7310" w14:textId="4D895651">
            <w:pPr>
              <w:spacing w:after="0" w:line="240" w:lineRule="auto"/>
              <w:rPr>
                <w:rFonts w:eastAsia="Times New Roman" w:cs="Times New Roman"/>
                <w:color w:val="000000"/>
                <w:sz w:val="24"/>
                <w:szCs w:val="24"/>
              </w:rPr>
            </w:pPr>
            <w:r>
              <w:rPr>
                <w:rFonts w:eastAsia="Times New Roman" w:cs="Times New Roman"/>
                <w:color w:val="000000"/>
                <w:sz w:val="24"/>
                <w:szCs w:val="24"/>
              </w:rPr>
              <w:t>ACUE</w:t>
            </w:r>
          </w:p>
        </w:tc>
        <w:tc>
          <w:tcPr>
            <w:tcW w:w="368" w:type="pct"/>
            <w:tcBorders>
              <w:top w:val="single" w:color="auto" w:sz="4" w:space="0"/>
              <w:left w:val="nil"/>
              <w:bottom w:val="single" w:color="auto" w:sz="4" w:space="0"/>
              <w:right w:val="nil"/>
            </w:tcBorders>
            <w:shd w:val="clear" w:color="auto" w:fill="auto"/>
            <w:noWrap/>
            <w:vAlign w:val="bottom"/>
          </w:tcPr>
          <w:p w:rsidRPr="003C42E4" w:rsidR="003C42E4" w:rsidP="008410CB" w:rsidRDefault="003C42E4" w14:paraId="0496EE61" w14:textId="77777777">
            <w:pPr>
              <w:spacing w:after="0" w:line="240" w:lineRule="auto"/>
              <w:rPr>
                <w:rFonts w:eastAsia="Times New Roman" w:cs="Times New Roman"/>
                <w:color w:val="000000"/>
                <w:sz w:val="24"/>
                <w:szCs w:val="24"/>
              </w:rPr>
            </w:pPr>
          </w:p>
        </w:tc>
      </w:tr>
      <w:tr w:rsidRPr="008410CB" w:rsidR="008410CB" w:rsidTr="000C216E" w14:paraId="07554393" w14:textId="77777777">
        <w:trPr>
          <w:trHeight w:val="288"/>
        </w:trPr>
        <w:tc>
          <w:tcPr>
            <w:tcW w:w="2264" w:type="pct"/>
            <w:tcBorders>
              <w:left w:val="nil"/>
              <w:bottom w:val="single" w:color="auto" w:sz="4" w:space="0"/>
              <w:right w:val="nil"/>
            </w:tcBorders>
            <w:shd w:val="clear" w:color="auto" w:fill="auto"/>
            <w:noWrap/>
            <w:vAlign w:val="bottom"/>
            <w:hideMark/>
          </w:tcPr>
          <w:p w:rsidRPr="008410CB" w:rsidR="008410CB" w:rsidP="008410CB" w:rsidRDefault="008410CB" w14:paraId="7D1D84CD" w14:textId="24865E04">
            <w:pPr>
              <w:spacing w:after="0" w:line="240" w:lineRule="auto"/>
              <w:rPr>
                <w:rFonts w:eastAsia="Times New Roman" w:cs="Times New Roman"/>
                <w:color w:val="000000"/>
                <w:sz w:val="24"/>
                <w:szCs w:val="24"/>
              </w:rPr>
            </w:pPr>
            <w:r w:rsidRPr="008410CB">
              <w:rPr>
                <w:rFonts w:eastAsia="Times New Roman" w:cs="Times New Roman"/>
                <w:color w:val="000000"/>
                <w:sz w:val="24"/>
                <w:szCs w:val="24"/>
              </w:rPr>
              <w:t>College</w:t>
            </w:r>
          </w:p>
        </w:tc>
        <w:tc>
          <w:tcPr>
            <w:tcW w:w="592" w:type="pct"/>
            <w:tcBorders>
              <w:top w:val="single" w:color="auto" w:sz="4" w:space="0"/>
              <w:left w:val="nil"/>
              <w:bottom w:val="single" w:color="auto" w:sz="4" w:space="0"/>
              <w:right w:val="nil"/>
            </w:tcBorders>
            <w:shd w:val="clear" w:color="auto" w:fill="auto"/>
            <w:noWrap/>
            <w:vAlign w:val="bottom"/>
            <w:hideMark/>
          </w:tcPr>
          <w:p w:rsidRPr="00096F4B" w:rsidR="008410CB" w:rsidP="008410CB" w:rsidRDefault="008410CB" w14:paraId="707C9897" w14:textId="77777777">
            <w:pPr>
              <w:spacing w:after="0" w:line="240" w:lineRule="auto"/>
              <w:rPr>
                <w:rFonts w:eastAsia="Times New Roman" w:cs="Times New Roman"/>
                <w:i/>
                <w:iCs/>
                <w:color w:val="000000"/>
                <w:sz w:val="24"/>
                <w:szCs w:val="24"/>
              </w:rPr>
            </w:pPr>
            <w:r w:rsidRPr="00096F4B">
              <w:rPr>
                <w:rFonts w:eastAsia="Times New Roman" w:cs="Times New Roman"/>
                <w:i/>
                <w:iCs/>
                <w:color w:val="000000"/>
                <w:sz w:val="24"/>
                <w:szCs w:val="24"/>
              </w:rPr>
              <w:t>M</w:t>
            </w:r>
          </w:p>
        </w:tc>
        <w:tc>
          <w:tcPr>
            <w:tcW w:w="592" w:type="pct"/>
            <w:tcBorders>
              <w:top w:val="single" w:color="auto" w:sz="4" w:space="0"/>
              <w:left w:val="nil"/>
              <w:bottom w:val="single" w:color="auto" w:sz="4" w:space="0"/>
              <w:right w:val="nil"/>
            </w:tcBorders>
            <w:shd w:val="clear" w:color="auto" w:fill="auto"/>
            <w:noWrap/>
            <w:vAlign w:val="bottom"/>
            <w:hideMark/>
          </w:tcPr>
          <w:p w:rsidRPr="00096F4B" w:rsidR="008410CB" w:rsidP="008410CB" w:rsidRDefault="008410CB" w14:paraId="76F6DD40" w14:textId="77777777">
            <w:pPr>
              <w:spacing w:after="0" w:line="240" w:lineRule="auto"/>
              <w:rPr>
                <w:rFonts w:eastAsia="Times New Roman" w:cs="Times New Roman"/>
                <w:i/>
                <w:iCs/>
                <w:color w:val="000000"/>
                <w:sz w:val="24"/>
                <w:szCs w:val="24"/>
              </w:rPr>
            </w:pPr>
            <w:r w:rsidRPr="00096F4B">
              <w:rPr>
                <w:rFonts w:eastAsia="Times New Roman" w:cs="Times New Roman"/>
                <w:i/>
                <w:iCs/>
                <w:color w:val="000000"/>
                <w:sz w:val="24"/>
                <w:szCs w:val="24"/>
              </w:rPr>
              <w:t>SD</w:t>
            </w:r>
          </w:p>
        </w:tc>
        <w:tc>
          <w:tcPr>
            <w:tcW w:w="592" w:type="pct"/>
            <w:tcBorders>
              <w:top w:val="single" w:color="auto" w:sz="4" w:space="0"/>
              <w:left w:val="nil"/>
              <w:bottom w:val="single" w:color="auto" w:sz="4" w:space="0"/>
              <w:right w:val="nil"/>
            </w:tcBorders>
            <w:shd w:val="clear" w:color="auto" w:fill="auto"/>
            <w:noWrap/>
            <w:vAlign w:val="bottom"/>
            <w:hideMark/>
          </w:tcPr>
          <w:p w:rsidRPr="00096F4B" w:rsidR="008410CB" w:rsidP="008410CB" w:rsidRDefault="008410CB" w14:paraId="7792DEF3" w14:textId="77777777">
            <w:pPr>
              <w:spacing w:after="0" w:line="240" w:lineRule="auto"/>
              <w:rPr>
                <w:rFonts w:eastAsia="Times New Roman" w:cs="Times New Roman"/>
                <w:i/>
                <w:iCs/>
                <w:color w:val="000000"/>
                <w:sz w:val="24"/>
                <w:szCs w:val="24"/>
              </w:rPr>
            </w:pPr>
            <w:r w:rsidRPr="00096F4B">
              <w:rPr>
                <w:rFonts w:eastAsia="Times New Roman" w:cs="Times New Roman"/>
                <w:i/>
                <w:iCs/>
                <w:color w:val="000000"/>
                <w:sz w:val="24"/>
                <w:szCs w:val="24"/>
              </w:rPr>
              <w:t>M</w:t>
            </w:r>
          </w:p>
        </w:tc>
        <w:tc>
          <w:tcPr>
            <w:tcW w:w="592" w:type="pct"/>
            <w:tcBorders>
              <w:top w:val="single" w:color="auto" w:sz="4" w:space="0"/>
              <w:left w:val="nil"/>
              <w:bottom w:val="single" w:color="auto" w:sz="4" w:space="0"/>
              <w:right w:val="nil"/>
            </w:tcBorders>
            <w:shd w:val="clear" w:color="auto" w:fill="auto"/>
            <w:noWrap/>
            <w:vAlign w:val="bottom"/>
            <w:hideMark/>
          </w:tcPr>
          <w:p w:rsidRPr="00096F4B" w:rsidR="008410CB" w:rsidP="008410CB" w:rsidRDefault="008410CB" w14:paraId="58801679" w14:textId="77777777">
            <w:pPr>
              <w:spacing w:after="0" w:line="240" w:lineRule="auto"/>
              <w:rPr>
                <w:rFonts w:eastAsia="Times New Roman" w:cs="Times New Roman"/>
                <w:i/>
                <w:iCs/>
                <w:color w:val="000000"/>
                <w:sz w:val="24"/>
                <w:szCs w:val="24"/>
              </w:rPr>
            </w:pPr>
            <w:r w:rsidRPr="00096F4B">
              <w:rPr>
                <w:rFonts w:eastAsia="Times New Roman" w:cs="Times New Roman"/>
                <w:i/>
                <w:iCs/>
                <w:color w:val="000000"/>
                <w:sz w:val="24"/>
                <w:szCs w:val="24"/>
              </w:rPr>
              <w:t>SD</w:t>
            </w:r>
          </w:p>
        </w:tc>
        <w:tc>
          <w:tcPr>
            <w:tcW w:w="368" w:type="pct"/>
            <w:tcBorders>
              <w:top w:val="single" w:color="auto" w:sz="4" w:space="0"/>
              <w:left w:val="nil"/>
              <w:bottom w:val="single" w:color="auto" w:sz="4" w:space="0"/>
              <w:right w:val="nil"/>
            </w:tcBorders>
            <w:shd w:val="clear" w:color="auto" w:fill="auto"/>
            <w:noWrap/>
            <w:vAlign w:val="bottom"/>
            <w:hideMark/>
          </w:tcPr>
          <w:p w:rsidRPr="00096F4B" w:rsidR="008410CB" w:rsidP="008410CB" w:rsidRDefault="008410CB" w14:paraId="44EB0616" w14:textId="77777777">
            <w:pPr>
              <w:spacing w:after="0" w:line="240" w:lineRule="auto"/>
              <w:rPr>
                <w:rFonts w:eastAsia="Times New Roman" w:cs="Times New Roman"/>
                <w:i/>
                <w:iCs/>
                <w:color w:val="000000"/>
                <w:sz w:val="24"/>
                <w:szCs w:val="24"/>
              </w:rPr>
            </w:pPr>
            <w:r w:rsidRPr="00096F4B">
              <w:rPr>
                <w:rFonts w:eastAsia="Times New Roman" w:cs="Times New Roman"/>
                <w:i/>
                <w:iCs/>
                <w:color w:val="000000"/>
                <w:sz w:val="24"/>
                <w:szCs w:val="24"/>
              </w:rPr>
              <w:t>N</w:t>
            </w:r>
          </w:p>
        </w:tc>
      </w:tr>
      <w:tr w:rsidRPr="008410CB" w:rsidR="008410CB" w:rsidTr="008410CB" w14:paraId="0C92085A" w14:textId="77777777">
        <w:trPr>
          <w:trHeight w:val="288"/>
        </w:trPr>
        <w:tc>
          <w:tcPr>
            <w:tcW w:w="2264" w:type="pct"/>
            <w:tcBorders>
              <w:top w:val="single" w:color="auto" w:sz="4" w:space="0"/>
              <w:left w:val="nil"/>
              <w:bottom w:val="nil"/>
              <w:right w:val="nil"/>
            </w:tcBorders>
            <w:shd w:val="clear" w:color="auto" w:fill="auto"/>
            <w:noWrap/>
            <w:vAlign w:val="bottom"/>
            <w:hideMark/>
          </w:tcPr>
          <w:p w:rsidRPr="008410CB" w:rsidR="008410CB" w:rsidP="008410CB" w:rsidRDefault="008410CB" w14:paraId="6D0E201D" w14:textId="77777777">
            <w:pPr>
              <w:spacing w:after="0" w:line="240" w:lineRule="auto"/>
              <w:rPr>
                <w:rFonts w:eastAsia="Times New Roman" w:cs="Times New Roman"/>
                <w:color w:val="000000"/>
                <w:sz w:val="24"/>
                <w:szCs w:val="24"/>
              </w:rPr>
            </w:pPr>
            <w:r w:rsidRPr="008410CB">
              <w:rPr>
                <w:rFonts w:eastAsia="Times New Roman" w:cs="Times New Roman"/>
                <w:color w:val="000000"/>
                <w:sz w:val="24"/>
                <w:szCs w:val="24"/>
              </w:rPr>
              <w:t>Arts and Media</w:t>
            </w:r>
          </w:p>
        </w:tc>
        <w:tc>
          <w:tcPr>
            <w:tcW w:w="592" w:type="pct"/>
            <w:tcBorders>
              <w:top w:val="single" w:color="auto" w:sz="4" w:space="0"/>
              <w:left w:val="nil"/>
              <w:bottom w:val="nil"/>
              <w:right w:val="nil"/>
            </w:tcBorders>
            <w:shd w:val="clear" w:color="auto" w:fill="auto"/>
            <w:noWrap/>
            <w:vAlign w:val="bottom"/>
            <w:hideMark/>
          </w:tcPr>
          <w:p w:rsidRPr="008410CB" w:rsidR="008410CB" w:rsidP="008410CB" w:rsidRDefault="008410CB" w14:paraId="51F2DDD6"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9.39%</w:t>
            </w:r>
          </w:p>
        </w:tc>
        <w:tc>
          <w:tcPr>
            <w:tcW w:w="592" w:type="pct"/>
            <w:tcBorders>
              <w:top w:val="single" w:color="auto" w:sz="4" w:space="0"/>
              <w:left w:val="nil"/>
              <w:bottom w:val="nil"/>
              <w:right w:val="nil"/>
            </w:tcBorders>
            <w:shd w:val="clear" w:color="auto" w:fill="auto"/>
            <w:noWrap/>
            <w:vAlign w:val="bottom"/>
            <w:hideMark/>
          </w:tcPr>
          <w:p w:rsidRPr="008410CB" w:rsidR="008410CB" w:rsidP="008410CB" w:rsidRDefault="008410CB" w14:paraId="6D354AC2"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11.15%</w:t>
            </w:r>
          </w:p>
        </w:tc>
        <w:tc>
          <w:tcPr>
            <w:tcW w:w="592" w:type="pct"/>
            <w:tcBorders>
              <w:top w:val="single" w:color="auto" w:sz="4" w:space="0"/>
              <w:left w:val="nil"/>
              <w:bottom w:val="nil"/>
              <w:right w:val="nil"/>
            </w:tcBorders>
            <w:shd w:val="clear" w:color="auto" w:fill="auto"/>
            <w:noWrap/>
            <w:vAlign w:val="bottom"/>
            <w:hideMark/>
          </w:tcPr>
          <w:p w:rsidRPr="008410CB" w:rsidR="008410CB" w:rsidP="008410CB" w:rsidRDefault="008410CB" w14:paraId="3081E386"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8.95%</w:t>
            </w:r>
          </w:p>
        </w:tc>
        <w:tc>
          <w:tcPr>
            <w:tcW w:w="592" w:type="pct"/>
            <w:tcBorders>
              <w:top w:val="single" w:color="auto" w:sz="4" w:space="0"/>
              <w:left w:val="nil"/>
              <w:bottom w:val="nil"/>
              <w:right w:val="nil"/>
            </w:tcBorders>
            <w:shd w:val="clear" w:color="auto" w:fill="auto"/>
            <w:noWrap/>
            <w:vAlign w:val="bottom"/>
            <w:hideMark/>
          </w:tcPr>
          <w:p w:rsidRPr="008410CB" w:rsidR="008410CB" w:rsidP="008410CB" w:rsidRDefault="008410CB" w14:paraId="020246A7"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10.24%</w:t>
            </w:r>
          </w:p>
        </w:tc>
        <w:tc>
          <w:tcPr>
            <w:tcW w:w="368" w:type="pct"/>
            <w:tcBorders>
              <w:top w:val="single" w:color="auto" w:sz="4" w:space="0"/>
              <w:left w:val="nil"/>
              <w:bottom w:val="nil"/>
              <w:right w:val="nil"/>
            </w:tcBorders>
            <w:shd w:val="clear" w:color="auto" w:fill="auto"/>
            <w:noWrap/>
            <w:vAlign w:val="bottom"/>
            <w:hideMark/>
          </w:tcPr>
          <w:p w:rsidRPr="008410CB" w:rsidR="008410CB" w:rsidP="008410CB" w:rsidRDefault="008410CB" w14:paraId="2C5D2646"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125</w:t>
            </w:r>
          </w:p>
        </w:tc>
      </w:tr>
      <w:tr w:rsidRPr="008410CB" w:rsidR="008410CB" w:rsidTr="008410CB" w14:paraId="08BFF443" w14:textId="77777777">
        <w:trPr>
          <w:trHeight w:val="288"/>
        </w:trPr>
        <w:tc>
          <w:tcPr>
            <w:tcW w:w="2264" w:type="pct"/>
            <w:tcBorders>
              <w:top w:val="nil"/>
              <w:left w:val="nil"/>
              <w:bottom w:val="nil"/>
              <w:right w:val="nil"/>
            </w:tcBorders>
            <w:shd w:val="clear" w:color="auto" w:fill="auto"/>
            <w:noWrap/>
            <w:vAlign w:val="bottom"/>
            <w:hideMark/>
          </w:tcPr>
          <w:p w:rsidRPr="008410CB" w:rsidR="008410CB" w:rsidP="008410CB" w:rsidRDefault="008410CB" w14:paraId="595722A9" w14:textId="77777777">
            <w:pPr>
              <w:spacing w:after="0" w:line="240" w:lineRule="auto"/>
              <w:rPr>
                <w:rFonts w:eastAsia="Times New Roman" w:cs="Times New Roman"/>
                <w:color w:val="000000"/>
                <w:sz w:val="24"/>
                <w:szCs w:val="24"/>
              </w:rPr>
            </w:pPr>
            <w:r w:rsidRPr="008410CB">
              <w:rPr>
                <w:rFonts w:eastAsia="Times New Roman" w:cs="Times New Roman"/>
                <w:color w:val="000000"/>
                <w:sz w:val="24"/>
                <w:szCs w:val="24"/>
              </w:rPr>
              <w:t>Business Administration</w:t>
            </w:r>
          </w:p>
        </w:tc>
        <w:tc>
          <w:tcPr>
            <w:tcW w:w="592" w:type="pct"/>
            <w:tcBorders>
              <w:top w:val="nil"/>
              <w:left w:val="nil"/>
              <w:bottom w:val="nil"/>
              <w:right w:val="nil"/>
            </w:tcBorders>
            <w:shd w:val="clear" w:color="auto" w:fill="auto"/>
            <w:noWrap/>
            <w:vAlign w:val="bottom"/>
            <w:hideMark/>
          </w:tcPr>
          <w:p w:rsidRPr="008410CB" w:rsidR="008410CB" w:rsidP="008410CB" w:rsidRDefault="008410CB" w14:paraId="7ED98F8C"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13.67%</w:t>
            </w:r>
          </w:p>
        </w:tc>
        <w:tc>
          <w:tcPr>
            <w:tcW w:w="592" w:type="pct"/>
            <w:tcBorders>
              <w:top w:val="nil"/>
              <w:left w:val="nil"/>
              <w:bottom w:val="nil"/>
              <w:right w:val="nil"/>
            </w:tcBorders>
            <w:shd w:val="clear" w:color="auto" w:fill="auto"/>
            <w:noWrap/>
            <w:vAlign w:val="bottom"/>
            <w:hideMark/>
          </w:tcPr>
          <w:p w:rsidRPr="008410CB" w:rsidR="008410CB" w:rsidP="008410CB" w:rsidRDefault="008410CB" w14:paraId="7B64EC1C"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15.05%</w:t>
            </w:r>
          </w:p>
        </w:tc>
        <w:tc>
          <w:tcPr>
            <w:tcW w:w="592" w:type="pct"/>
            <w:tcBorders>
              <w:top w:val="nil"/>
              <w:left w:val="nil"/>
              <w:bottom w:val="nil"/>
              <w:right w:val="nil"/>
            </w:tcBorders>
            <w:shd w:val="clear" w:color="auto" w:fill="auto"/>
            <w:noWrap/>
            <w:vAlign w:val="bottom"/>
            <w:hideMark/>
          </w:tcPr>
          <w:p w:rsidRPr="008410CB" w:rsidR="008410CB" w:rsidP="008410CB" w:rsidRDefault="008410CB" w14:paraId="69C2F0EB"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12.70%</w:t>
            </w:r>
          </w:p>
        </w:tc>
        <w:tc>
          <w:tcPr>
            <w:tcW w:w="592" w:type="pct"/>
            <w:tcBorders>
              <w:top w:val="nil"/>
              <w:left w:val="nil"/>
              <w:bottom w:val="nil"/>
              <w:right w:val="nil"/>
            </w:tcBorders>
            <w:shd w:val="clear" w:color="auto" w:fill="auto"/>
            <w:noWrap/>
            <w:vAlign w:val="bottom"/>
            <w:hideMark/>
          </w:tcPr>
          <w:p w:rsidRPr="008410CB" w:rsidR="008410CB" w:rsidP="008410CB" w:rsidRDefault="008410CB" w14:paraId="76A16639"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12.79%</w:t>
            </w:r>
          </w:p>
        </w:tc>
        <w:tc>
          <w:tcPr>
            <w:tcW w:w="368" w:type="pct"/>
            <w:tcBorders>
              <w:top w:val="nil"/>
              <w:left w:val="nil"/>
              <w:bottom w:val="nil"/>
              <w:right w:val="nil"/>
            </w:tcBorders>
            <w:shd w:val="clear" w:color="auto" w:fill="auto"/>
            <w:noWrap/>
            <w:vAlign w:val="bottom"/>
            <w:hideMark/>
          </w:tcPr>
          <w:p w:rsidRPr="008410CB" w:rsidR="008410CB" w:rsidP="008410CB" w:rsidRDefault="008410CB" w14:paraId="28DB8667"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134</w:t>
            </w:r>
          </w:p>
        </w:tc>
      </w:tr>
      <w:tr w:rsidRPr="008410CB" w:rsidR="008410CB" w:rsidTr="008410CB" w14:paraId="4789CEF8" w14:textId="77777777">
        <w:trPr>
          <w:trHeight w:val="288"/>
        </w:trPr>
        <w:tc>
          <w:tcPr>
            <w:tcW w:w="2264" w:type="pct"/>
            <w:tcBorders>
              <w:top w:val="nil"/>
              <w:left w:val="nil"/>
              <w:bottom w:val="nil"/>
              <w:right w:val="nil"/>
            </w:tcBorders>
            <w:shd w:val="clear" w:color="auto" w:fill="auto"/>
            <w:noWrap/>
            <w:vAlign w:val="bottom"/>
            <w:hideMark/>
          </w:tcPr>
          <w:p w:rsidRPr="008410CB" w:rsidR="008410CB" w:rsidP="008410CB" w:rsidRDefault="008410CB" w14:paraId="470A75D2" w14:textId="77777777">
            <w:pPr>
              <w:spacing w:after="0" w:line="240" w:lineRule="auto"/>
              <w:rPr>
                <w:rFonts w:eastAsia="Times New Roman" w:cs="Times New Roman"/>
                <w:color w:val="000000"/>
                <w:sz w:val="24"/>
                <w:szCs w:val="24"/>
              </w:rPr>
            </w:pPr>
            <w:r w:rsidRPr="008410CB">
              <w:rPr>
                <w:rFonts w:eastAsia="Times New Roman" w:cs="Times New Roman"/>
                <w:color w:val="000000"/>
                <w:sz w:val="24"/>
                <w:szCs w:val="24"/>
              </w:rPr>
              <w:t>Criminal Justice</w:t>
            </w:r>
          </w:p>
        </w:tc>
        <w:tc>
          <w:tcPr>
            <w:tcW w:w="592" w:type="pct"/>
            <w:tcBorders>
              <w:top w:val="nil"/>
              <w:left w:val="nil"/>
              <w:bottom w:val="nil"/>
              <w:right w:val="nil"/>
            </w:tcBorders>
            <w:shd w:val="clear" w:color="auto" w:fill="auto"/>
            <w:noWrap/>
            <w:vAlign w:val="bottom"/>
            <w:hideMark/>
          </w:tcPr>
          <w:p w:rsidRPr="008410CB" w:rsidR="008410CB" w:rsidP="008410CB" w:rsidRDefault="008410CB" w14:paraId="7756DE11"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9.38%</w:t>
            </w:r>
          </w:p>
        </w:tc>
        <w:tc>
          <w:tcPr>
            <w:tcW w:w="592" w:type="pct"/>
            <w:tcBorders>
              <w:top w:val="nil"/>
              <w:left w:val="nil"/>
              <w:bottom w:val="nil"/>
              <w:right w:val="nil"/>
            </w:tcBorders>
            <w:shd w:val="clear" w:color="auto" w:fill="auto"/>
            <w:noWrap/>
            <w:vAlign w:val="bottom"/>
            <w:hideMark/>
          </w:tcPr>
          <w:p w:rsidRPr="008410CB" w:rsidR="008410CB" w:rsidP="008410CB" w:rsidRDefault="008410CB" w14:paraId="5A9217C7"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9.67%</w:t>
            </w:r>
          </w:p>
        </w:tc>
        <w:tc>
          <w:tcPr>
            <w:tcW w:w="592" w:type="pct"/>
            <w:tcBorders>
              <w:top w:val="nil"/>
              <w:left w:val="nil"/>
              <w:bottom w:val="nil"/>
              <w:right w:val="nil"/>
            </w:tcBorders>
            <w:shd w:val="clear" w:color="auto" w:fill="auto"/>
            <w:noWrap/>
            <w:vAlign w:val="bottom"/>
            <w:hideMark/>
          </w:tcPr>
          <w:p w:rsidRPr="008410CB" w:rsidR="008410CB" w:rsidP="008410CB" w:rsidRDefault="008410CB" w14:paraId="31A712D2"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8.27%</w:t>
            </w:r>
          </w:p>
        </w:tc>
        <w:tc>
          <w:tcPr>
            <w:tcW w:w="592" w:type="pct"/>
            <w:tcBorders>
              <w:top w:val="nil"/>
              <w:left w:val="nil"/>
              <w:bottom w:val="nil"/>
              <w:right w:val="nil"/>
            </w:tcBorders>
            <w:shd w:val="clear" w:color="auto" w:fill="auto"/>
            <w:noWrap/>
            <w:vAlign w:val="bottom"/>
            <w:hideMark/>
          </w:tcPr>
          <w:p w:rsidRPr="008410CB" w:rsidR="008410CB" w:rsidP="008410CB" w:rsidRDefault="008410CB" w14:paraId="7189E0D9"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9.25%</w:t>
            </w:r>
          </w:p>
        </w:tc>
        <w:tc>
          <w:tcPr>
            <w:tcW w:w="368" w:type="pct"/>
            <w:tcBorders>
              <w:top w:val="nil"/>
              <w:left w:val="nil"/>
              <w:bottom w:val="nil"/>
              <w:right w:val="nil"/>
            </w:tcBorders>
            <w:shd w:val="clear" w:color="auto" w:fill="auto"/>
            <w:noWrap/>
            <w:vAlign w:val="bottom"/>
            <w:hideMark/>
          </w:tcPr>
          <w:p w:rsidRPr="008410CB" w:rsidR="008410CB" w:rsidP="008410CB" w:rsidRDefault="008410CB" w14:paraId="5183C783"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135</w:t>
            </w:r>
          </w:p>
        </w:tc>
      </w:tr>
      <w:tr w:rsidRPr="008410CB" w:rsidR="008410CB" w:rsidTr="008410CB" w14:paraId="7E7467A9" w14:textId="77777777">
        <w:trPr>
          <w:trHeight w:val="288"/>
        </w:trPr>
        <w:tc>
          <w:tcPr>
            <w:tcW w:w="2264" w:type="pct"/>
            <w:tcBorders>
              <w:top w:val="nil"/>
              <w:left w:val="nil"/>
              <w:bottom w:val="nil"/>
              <w:right w:val="nil"/>
            </w:tcBorders>
            <w:shd w:val="clear" w:color="auto" w:fill="auto"/>
            <w:noWrap/>
            <w:vAlign w:val="bottom"/>
            <w:hideMark/>
          </w:tcPr>
          <w:p w:rsidRPr="008410CB" w:rsidR="008410CB" w:rsidP="008410CB" w:rsidRDefault="008410CB" w14:paraId="0CD5ECE5" w14:textId="77777777">
            <w:pPr>
              <w:spacing w:after="0" w:line="240" w:lineRule="auto"/>
              <w:rPr>
                <w:rFonts w:eastAsia="Times New Roman" w:cs="Times New Roman"/>
                <w:color w:val="000000"/>
                <w:sz w:val="24"/>
                <w:szCs w:val="24"/>
              </w:rPr>
            </w:pPr>
            <w:r w:rsidRPr="008410CB">
              <w:rPr>
                <w:rFonts w:eastAsia="Times New Roman" w:cs="Times New Roman"/>
                <w:color w:val="000000"/>
                <w:sz w:val="24"/>
                <w:szCs w:val="24"/>
              </w:rPr>
              <w:t>Education</w:t>
            </w:r>
          </w:p>
        </w:tc>
        <w:tc>
          <w:tcPr>
            <w:tcW w:w="592" w:type="pct"/>
            <w:tcBorders>
              <w:top w:val="nil"/>
              <w:left w:val="nil"/>
              <w:bottom w:val="nil"/>
              <w:right w:val="nil"/>
            </w:tcBorders>
            <w:shd w:val="clear" w:color="auto" w:fill="auto"/>
            <w:noWrap/>
            <w:vAlign w:val="bottom"/>
            <w:hideMark/>
          </w:tcPr>
          <w:p w:rsidRPr="008410CB" w:rsidR="008410CB" w:rsidP="008410CB" w:rsidRDefault="008410CB" w14:paraId="05EDB6C8"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2.98%</w:t>
            </w:r>
          </w:p>
        </w:tc>
        <w:tc>
          <w:tcPr>
            <w:tcW w:w="592" w:type="pct"/>
            <w:tcBorders>
              <w:top w:val="nil"/>
              <w:left w:val="nil"/>
              <w:bottom w:val="nil"/>
              <w:right w:val="nil"/>
            </w:tcBorders>
            <w:shd w:val="clear" w:color="auto" w:fill="auto"/>
            <w:noWrap/>
            <w:vAlign w:val="bottom"/>
            <w:hideMark/>
          </w:tcPr>
          <w:p w:rsidRPr="008410CB" w:rsidR="008410CB" w:rsidP="008410CB" w:rsidRDefault="008410CB" w14:paraId="0B89C2DE"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5.66%</w:t>
            </w:r>
          </w:p>
        </w:tc>
        <w:tc>
          <w:tcPr>
            <w:tcW w:w="592" w:type="pct"/>
            <w:tcBorders>
              <w:top w:val="nil"/>
              <w:left w:val="nil"/>
              <w:bottom w:val="nil"/>
              <w:right w:val="nil"/>
            </w:tcBorders>
            <w:shd w:val="clear" w:color="auto" w:fill="auto"/>
            <w:noWrap/>
            <w:vAlign w:val="bottom"/>
            <w:hideMark/>
          </w:tcPr>
          <w:p w:rsidRPr="008410CB" w:rsidR="008410CB" w:rsidP="008410CB" w:rsidRDefault="008410CB" w14:paraId="3F057892"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2.33%</w:t>
            </w:r>
          </w:p>
        </w:tc>
        <w:tc>
          <w:tcPr>
            <w:tcW w:w="592" w:type="pct"/>
            <w:tcBorders>
              <w:top w:val="nil"/>
              <w:left w:val="nil"/>
              <w:bottom w:val="nil"/>
              <w:right w:val="nil"/>
            </w:tcBorders>
            <w:shd w:val="clear" w:color="auto" w:fill="auto"/>
            <w:noWrap/>
            <w:vAlign w:val="bottom"/>
            <w:hideMark/>
          </w:tcPr>
          <w:p w:rsidRPr="008410CB" w:rsidR="008410CB" w:rsidP="008410CB" w:rsidRDefault="008410CB" w14:paraId="4FEF3C2D"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4.68%</w:t>
            </w:r>
          </w:p>
        </w:tc>
        <w:tc>
          <w:tcPr>
            <w:tcW w:w="368" w:type="pct"/>
            <w:tcBorders>
              <w:top w:val="nil"/>
              <w:left w:val="nil"/>
              <w:bottom w:val="nil"/>
              <w:right w:val="nil"/>
            </w:tcBorders>
            <w:shd w:val="clear" w:color="auto" w:fill="auto"/>
            <w:noWrap/>
            <w:vAlign w:val="bottom"/>
            <w:hideMark/>
          </w:tcPr>
          <w:p w:rsidRPr="008410CB" w:rsidR="008410CB" w:rsidP="008410CB" w:rsidRDefault="008410CB" w14:paraId="27E45A99"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96</w:t>
            </w:r>
          </w:p>
        </w:tc>
      </w:tr>
      <w:tr w:rsidRPr="008410CB" w:rsidR="008410CB" w:rsidTr="008410CB" w14:paraId="77D9A365" w14:textId="77777777">
        <w:trPr>
          <w:trHeight w:val="288"/>
        </w:trPr>
        <w:tc>
          <w:tcPr>
            <w:tcW w:w="2264" w:type="pct"/>
            <w:tcBorders>
              <w:top w:val="nil"/>
              <w:left w:val="nil"/>
              <w:bottom w:val="nil"/>
              <w:right w:val="nil"/>
            </w:tcBorders>
            <w:shd w:val="clear" w:color="auto" w:fill="auto"/>
            <w:noWrap/>
            <w:vAlign w:val="bottom"/>
            <w:hideMark/>
          </w:tcPr>
          <w:p w:rsidRPr="008410CB" w:rsidR="008410CB" w:rsidP="008410CB" w:rsidRDefault="008410CB" w14:paraId="52B9B48E" w14:textId="77777777">
            <w:pPr>
              <w:spacing w:after="0" w:line="240" w:lineRule="auto"/>
              <w:rPr>
                <w:rFonts w:eastAsia="Times New Roman" w:cs="Times New Roman"/>
                <w:color w:val="000000"/>
                <w:sz w:val="24"/>
                <w:szCs w:val="24"/>
              </w:rPr>
            </w:pPr>
            <w:r w:rsidRPr="008410CB">
              <w:rPr>
                <w:rFonts w:eastAsia="Times New Roman" w:cs="Times New Roman"/>
                <w:color w:val="000000"/>
                <w:sz w:val="24"/>
                <w:szCs w:val="24"/>
              </w:rPr>
              <w:t>Health Sciences</w:t>
            </w:r>
          </w:p>
        </w:tc>
        <w:tc>
          <w:tcPr>
            <w:tcW w:w="592" w:type="pct"/>
            <w:tcBorders>
              <w:top w:val="nil"/>
              <w:left w:val="nil"/>
              <w:bottom w:val="nil"/>
              <w:right w:val="nil"/>
            </w:tcBorders>
            <w:shd w:val="clear" w:color="auto" w:fill="auto"/>
            <w:noWrap/>
            <w:vAlign w:val="bottom"/>
            <w:hideMark/>
          </w:tcPr>
          <w:p w:rsidRPr="008410CB" w:rsidR="008410CB" w:rsidP="008410CB" w:rsidRDefault="008410CB" w14:paraId="395096A9"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7.17%</w:t>
            </w:r>
          </w:p>
        </w:tc>
        <w:tc>
          <w:tcPr>
            <w:tcW w:w="592" w:type="pct"/>
            <w:tcBorders>
              <w:top w:val="nil"/>
              <w:left w:val="nil"/>
              <w:bottom w:val="nil"/>
              <w:right w:val="nil"/>
            </w:tcBorders>
            <w:shd w:val="clear" w:color="auto" w:fill="auto"/>
            <w:noWrap/>
            <w:vAlign w:val="bottom"/>
            <w:hideMark/>
          </w:tcPr>
          <w:p w:rsidRPr="008410CB" w:rsidR="008410CB" w:rsidP="008410CB" w:rsidRDefault="008410CB" w14:paraId="63B09A86"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8.63%</w:t>
            </w:r>
          </w:p>
        </w:tc>
        <w:tc>
          <w:tcPr>
            <w:tcW w:w="592" w:type="pct"/>
            <w:tcBorders>
              <w:top w:val="nil"/>
              <w:left w:val="nil"/>
              <w:bottom w:val="nil"/>
              <w:right w:val="nil"/>
            </w:tcBorders>
            <w:shd w:val="clear" w:color="auto" w:fill="auto"/>
            <w:noWrap/>
            <w:vAlign w:val="bottom"/>
            <w:hideMark/>
          </w:tcPr>
          <w:p w:rsidRPr="008410CB" w:rsidR="008410CB" w:rsidP="008410CB" w:rsidRDefault="008410CB" w14:paraId="0924EB50"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8.47%</w:t>
            </w:r>
          </w:p>
        </w:tc>
        <w:tc>
          <w:tcPr>
            <w:tcW w:w="592" w:type="pct"/>
            <w:tcBorders>
              <w:top w:val="nil"/>
              <w:left w:val="nil"/>
              <w:bottom w:val="nil"/>
              <w:right w:val="nil"/>
            </w:tcBorders>
            <w:shd w:val="clear" w:color="auto" w:fill="auto"/>
            <w:noWrap/>
            <w:vAlign w:val="bottom"/>
            <w:hideMark/>
          </w:tcPr>
          <w:p w:rsidRPr="008410CB" w:rsidR="008410CB" w:rsidP="008410CB" w:rsidRDefault="008410CB" w14:paraId="68640D5D"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9.11%</w:t>
            </w:r>
          </w:p>
        </w:tc>
        <w:tc>
          <w:tcPr>
            <w:tcW w:w="368" w:type="pct"/>
            <w:tcBorders>
              <w:top w:val="nil"/>
              <w:left w:val="nil"/>
              <w:bottom w:val="nil"/>
              <w:right w:val="nil"/>
            </w:tcBorders>
            <w:shd w:val="clear" w:color="auto" w:fill="auto"/>
            <w:noWrap/>
            <w:vAlign w:val="bottom"/>
            <w:hideMark/>
          </w:tcPr>
          <w:p w:rsidRPr="008410CB" w:rsidR="008410CB" w:rsidP="008410CB" w:rsidRDefault="008410CB" w14:paraId="6161968E"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77</w:t>
            </w:r>
          </w:p>
        </w:tc>
      </w:tr>
      <w:tr w:rsidRPr="008410CB" w:rsidR="008410CB" w:rsidTr="008410CB" w14:paraId="1A33C7FC" w14:textId="77777777">
        <w:trPr>
          <w:trHeight w:val="288"/>
        </w:trPr>
        <w:tc>
          <w:tcPr>
            <w:tcW w:w="2264" w:type="pct"/>
            <w:tcBorders>
              <w:top w:val="nil"/>
              <w:left w:val="nil"/>
              <w:right w:val="nil"/>
            </w:tcBorders>
            <w:shd w:val="clear" w:color="auto" w:fill="auto"/>
            <w:noWrap/>
            <w:vAlign w:val="bottom"/>
            <w:hideMark/>
          </w:tcPr>
          <w:p w:rsidRPr="008410CB" w:rsidR="008410CB" w:rsidP="008410CB" w:rsidRDefault="008410CB" w14:paraId="735E436A" w14:textId="77777777">
            <w:pPr>
              <w:spacing w:after="0" w:line="240" w:lineRule="auto"/>
              <w:rPr>
                <w:rFonts w:eastAsia="Times New Roman" w:cs="Times New Roman"/>
                <w:color w:val="000000"/>
                <w:sz w:val="24"/>
                <w:szCs w:val="24"/>
              </w:rPr>
            </w:pPr>
            <w:r w:rsidRPr="008410CB">
              <w:rPr>
                <w:rFonts w:eastAsia="Times New Roman" w:cs="Times New Roman"/>
                <w:color w:val="000000"/>
                <w:sz w:val="24"/>
                <w:szCs w:val="24"/>
              </w:rPr>
              <w:t>Humanities and Social Sciences</w:t>
            </w:r>
          </w:p>
        </w:tc>
        <w:tc>
          <w:tcPr>
            <w:tcW w:w="592" w:type="pct"/>
            <w:tcBorders>
              <w:top w:val="nil"/>
              <w:left w:val="nil"/>
              <w:right w:val="nil"/>
            </w:tcBorders>
            <w:shd w:val="clear" w:color="auto" w:fill="auto"/>
            <w:noWrap/>
            <w:vAlign w:val="bottom"/>
            <w:hideMark/>
          </w:tcPr>
          <w:p w:rsidRPr="008410CB" w:rsidR="008410CB" w:rsidP="008410CB" w:rsidRDefault="008410CB" w14:paraId="024D1EBD"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16.12%</w:t>
            </w:r>
          </w:p>
        </w:tc>
        <w:tc>
          <w:tcPr>
            <w:tcW w:w="592" w:type="pct"/>
            <w:tcBorders>
              <w:top w:val="nil"/>
              <w:left w:val="nil"/>
              <w:right w:val="nil"/>
            </w:tcBorders>
            <w:shd w:val="clear" w:color="auto" w:fill="auto"/>
            <w:noWrap/>
            <w:vAlign w:val="bottom"/>
            <w:hideMark/>
          </w:tcPr>
          <w:p w:rsidRPr="008410CB" w:rsidR="008410CB" w:rsidP="008410CB" w:rsidRDefault="008410CB" w14:paraId="63A0FB6B"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13.49%</w:t>
            </w:r>
          </w:p>
        </w:tc>
        <w:tc>
          <w:tcPr>
            <w:tcW w:w="592" w:type="pct"/>
            <w:tcBorders>
              <w:top w:val="nil"/>
              <w:left w:val="nil"/>
              <w:right w:val="nil"/>
            </w:tcBorders>
            <w:shd w:val="clear" w:color="auto" w:fill="auto"/>
            <w:noWrap/>
            <w:vAlign w:val="bottom"/>
            <w:hideMark/>
          </w:tcPr>
          <w:p w:rsidRPr="008410CB" w:rsidR="008410CB" w:rsidP="008410CB" w:rsidRDefault="008410CB" w14:paraId="31DA3202"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14.83%</w:t>
            </w:r>
          </w:p>
        </w:tc>
        <w:tc>
          <w:tcPr>
            <w:tcW w:w="592" w:type="pct"/>
            <w:tcBorders>
              <w:top w:val="nil"/>
              <w:left w:val="nil"/>
              <w:right w:val="nil"/>
            </w:tcBorders>
            <w:shd w:val="clear" w:color="auto" w:fill="auto"/>
            <w:noWrap/>
            <w:vAlign w:val="bottom"/>
            <w:hideMark/>
          </w:tcPr>
          <w:p w:rsidRPr="008410CB" w:rsidR="008410CB" w:rsidP="008410CB" w:rsidRDefault="008410CB" w14:paraId="1ABD440E"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14.23%</w:t>
            </w:r>
          </w:p>
        </w:tc>
        <w:tc>
          <w:tcPr>
            <w:tcW w:w="368" w:type="pct"/>
            <w:tcBorders>
              <w:top w:val="nil"/>
              <w:left w:val="nil"/>
              <w:right w:val="nil"/>
            </w:tcBorders>
            <w:shd w:val="clear" w:color="auto" w:fill="auto"/>
            <w:noWrap/>
            <w:vAlign w:val="bottom"/>
            <w:hideMark/>
          </w:tcPr>
          <w:p w:rsidRPr="008410CB" w:rsidR="008410CB" w:rsidP="008410CB" w:rsidRDefault="008410CB" w14:paraId="69E891F1"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327</w:t>
            </w:r>
          </w:p>
        </w:tc>
      </w:tr>
      <w:tr w:rsidRPr="008410CB" w:rsidR="008410CB" w:rsidTr="008410CB" w14:paraId="488A33DE" w14:textId="77777777">
        <w:trPr>
          <w:trHeight w:val="288"/>
        </w:trPr>
        <w:tc>
          <w:tcPr>
            <w:tcW w:w="2264" w:type="pct"/>
            <w:tcBorders>
              <w:top w:val="nil"/>
              <w:left w:val="nil"/>
              <w:bottom w:val="single" w:color="auto" w:sz="4" w:space="0"/>
              <w:right w:val="nil"/>
            </w:tcBorders>
            <w:shd w:val="clear" w:color="auto" w:fill="auto"/>
            <w:noWrap/>
            <w:vAlign w:val="bottom"/>
            <w:hideMark/>
          </w:tcPr>
          <w:p w:rsidRPr="008410CB" w:rsidR="008410CB" w:rsidP="008410CB" w:rsidRDefault="008410CB" w14:paraId="4F8BC492" w14:textId="77777777">
            <w:pPr>
              <w:spacing w:after="0" w:line="240" w:lineRule="auto"/>
              <w:rPr>
                <w:rFonts w:eastAsia="Times New Roman" w:cs="Times New Roman"/>
                <w:color w:val="000000"/>
                <w:sz w:val="24"/>
                <w:szCs w:val="24"/>
              </w:rPr>
            </w:pPr>
            <w:r w:rsidRPr="008410CB">
              <w:rPr>
                <w:rFonts w:eastAsia="Times New Roman" w:cs="Times New Roman"/>
                <w:color w:val="000000"/>
                <w:sz w:val="24"/>
                <w:szCs w:val="24"/>
              </w:rPr>
              <w:t>Science and Engineering Technology</w:t>
            </w:r>
          </w:p>
        </w:tc>
        <w:tc>
          <w:tcPr>
            <w:tcW w:w="592" w:type="pct"/>
            <w:tcBorders>
              <w:top w:val="nil"/>
              <w:left w:val="nil"/>
              <w:bottom w:val="single" w:color="auto" w:sz="4" w:space="0"/>
              <w:right w:val="nil"/>
            </w:tcBorders>
            <w:shd w:val="clear" w:color="auto" w:fill="auto"/>
            <w:noWrap/>
            <w:vAlign w:val="bottom"/>
            <w:hideMark/>
          </w:tcPr>
          <w:p w:rsidRPr="008410CB" w:rsidR="008410CB" w:rsidP="008410CB" w:rsidRDefault="008410CB" w14:paraId="4000ED74"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24.50%</w:t>
            </w:r>
          </w:p>
        </w:tc>
        <w:tc>
          <w:tcPr>
            <w:tcW w:w="592" w:type="pct"/>
            <w:tcBorders>
              <w:top w:val="nil"/>
              <w:left w:val="nil"/>
              <w:bottom w:val="single" w:color="auto" w:sz="4" w:space="0"/>
              <w:right w:val="nil"/>
            </w:tcBorders>
            <w:shd w:val="clear" w:color="auto" w:fill="auto"/>
            <w:noWrap/>
            <w:vAlign w:val="bottom"/>
            <w:hideMark/>
          </w:tcPr>
          <w:p w:rsidRPr="008410CB" w:rsidR="008410CB" w:rsidP="008410CB" w:rsidRDefault="008410CB" w14:paraId="7EA261DD"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21.37%</w:t>
            </w:r>
          </w:p>
        </w:tc>
        <w:tc>
          <w:tcPr>
            <w:tcW w:w="592" w:type="pct"/>
            <w:tcBorders>
              <w:top w:val="nil"/>
              <w:left w:val="nil"/>
              <w:bottom w:val="single" w:color="auto" w:sz="4" w:space="0"/>
              <w:right w:val="nil"/>
            </w:tcBorders>
            <w:shd w:val="clear" w:color="auto" w:fill="auto"/>
            <w:noWrap/>
            <w:vAlign w:val="bottom"/>
            <w:hideMark/>
          </w:tcPr>
          <w:p w:rsidRPr="008410CB" w:rsidR="008410CB" w:rsidP="008410CB" w:rsidRDefault="008410CB" w14:paraId="36915C9D"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21.78%</w:t>
            </w:r>
          </w:p>
        </w:tc>
        <w:tc>
          <w:tcPr>
            <w:tcW w:w="592" w:type="pct"/>
            <w:tcBorders>
              <w:top w:val="nil"/>
              <w:left w:val="nil"/>
              <w:bottom w:val="single" w:color="auto" w:sz="4" w:space="0"/>
              <w:right w:val="nil"/>
            </w:tcBorders>
            <w:shd w:val="clear" w:color="auto" w:fill="auto"/>
            <w:noWrap/>
            <w:vAlign w:val="bottom"/>
            <w:hideMark/>
          </w:tcPr>
          <w:p w:rsidRPr="008410CB" w:rsidR="008410CB" w:rsidP="008410CB" w:rsidRDefault="008410CB" w14:paraId="019ABA4C"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20.53%</w:t>
            </w:r>
          </w:p>
        </w:tc>
        <w:tc>
          <w:tcPr>
            <w:tcW w:w="368" w:type="pct"/>
            <w:tcBorders>
              <w:top w:val="nil"/>
              <w:left w:val="nil"/>
              <w:bottom w:val="single" w:color="auto" w:sz="4" w:space="0"/>
              <w:right w:val="nil"/>
            </w:tcBorders>
            <w:shd w:val="clear" w:color="auto" w:fill="auto"/>
            <w:noWrap/>
            <w:vAlign w:val="bottom"/>
            <w:hideMark/>
          </w:tcPr>
          <w:p w:rsidRPr="008410CB" w:rsidR="008410CB" w:rsidP="008410CB" w:rsidRDefault="008410CB" w14:paraId="27E99F1F" w14:textId="77777777">
            <w:pPr>
              <w:spacing w:after="0" w:line="240" w:lineRule="auto"/>
              <w:jc w:val="right"/>
              <w:rPr>
                <w:rFonts w:eastAsia="Times New Roman" w:cs="Times New Roman"/>
                <w:color w:val="000000"/>
                <w:sz w:val="24"/>
                <w:szCs w:val="24"/>
              </w:rPr>
            </w:pPr>
            <w:r w:rsidRPr="008410CB">
              <w:rPr>
                <w:rFonts w:eastAsia="Times New Roman" w:cs="Times New Roman"/>
                <w:color w:val="000000"/>
                <w:sz w:val="24"/>
                <w:szCs w:val="24"/>
              </w:rPr>
              <w:t>317</w:t>
            </w:r>
          </w:p>
        </w:tc>
      </w:tr>
    </w:tbl>
    <w:p w:rsidR="00DE2298" w:rsidP="00DC61E5" w:rsidRDefault="00DE2298" w14:paraId="61EC9B2A" w14:textId="6BF97431">
      <w:pPr>
        <w:pStyle w:val="NoSpacing"/>
        <w:rPr>
          <w:sz w:val="24"/>
          <w:szCs w:val="24"/>
        </w:rPr>
      </w:pPr>
    </w:p>
    <w:p w:rsidRPr="003C42E4" w:rsidR="00DC61E5" w:rsidP="00DC61E5" w:rsidRDefault="00DC61E5" w14:paraId="711D0BE0" w14:textId="50BA9341">
      <w:pPr>
        <w:pStyle w:val="NoSpacing"/>
        <w:rPr>
          <w:sz w:val="24"/>
          <w:szCs w:val="24"/>
        </w:rPr>
      </w:pPr>
      <w:r w:rsidRPr="003C42E4">
        <w:rPr>
          <w:sz w:val="24"/>
          <w:szCs w:val="24"/>
        </w:rPr>
        <w:t xml:space="preserve">Table </w:t>
      </w:r>
      <w:r w:rsidR="003078F3">
        <w:rPr>
          <w:sz w:val="24"/>
          <w:szCs w:val="24"/>
        </w:rPr>
        <w:t>3</w:t>
      </w:r>
    </w:p>
    <w:p w:rsidRPr="003C42E4" w:rsidR="00DC61E5" w:rsidP="00DC61E5" w:rsidRDefault="001B75F6" w14:paraId="025D85DE" w14:textId="5268AAF6">
      <w:pPr>
        <w:pStyle w:val="NoSpacing"/>
        <w:rPr>
          <w:i/>
          <w:iCs/>
          <w:sz w:val="24"/>
          <w:szCs w:val="24"/>
        </w:rPr>
      </w:pPr>
      <w:r>
        <w:rPr>
          <w:i/>
          <w:iCs/>
          <w:sz w:val="24"/>
          <w:szCs w:val="24"/>
        </w:rPr>
        <w:t>Excellent Teacher</w:t>
      </w:r>
      <w:r w:rsidRPr="003C42E4" w:rsidR="00DC61E5">
        <w:rPr>
          <w:i/>
          <w:iCs/>
          <w:sz w:val="24"/>
          <w:szCs w:val="24"/>
        </w:rPr>
        <w:t xml:space="preserve"> by College and ACUE Participation</w:t>
      </w:r>
    </w:p>
    <w:tbl>
      <w:tblPr>
        <w:tblW w:w="5000" w:type="pct"/>
        <w:tblLook w:val="04A0" w:firstRow="1" w:lastRow="0" w:firstColumn="1" w:lastColumn="0" w:noHBand="0" w:noVBand="1"/>
      </w:tblPr>
      <w:tblGrid>
        <w:gridCol w:w="4192"/>
        <w:gridCol w:w="1337"/>
        <w:gridCol w:w="1062"/>
        <w:gridCol w:w="1062"/>
        <w:gridCol w:w="1063"/>
        <w:gridCol w:w="644"/>
      </w:tblGrid>
      <w:tr w:rsidRPr="00F92848" w:rsidR="008410CB" w:rsidTr="000C216E" w14:paraId="497D72F1" w14:textId="77777777">
        <w:trPr>
          <w:trHeight w:val="288"/>
        </w:trPr>
        <w:tc>
          <w:tcPr>
            <w:tcW w:w="2264" w:type="pct"/>
            <w:tcBorders>
              <w:top w:val="single" w:color="auto" w:sz="4" w:space="0"/>
              <w:left w:val="nil"/>
              <w:right w:val="nil"/>
            </w:tcBorders>
            <w:shd w:val="clear" w:color="auto" w:fill="auto"/>
            <w:noWrap/>
            <w:vAlign w:val="bottom"/>
          </w:tcPr>
          <w:p w:rsidRPr="00F92848" w:rsidR="008410CB" w:rsidP="00482557" w:rsidRDefault="008410CB" w14:paraId="25A4FB9A" w14:textId="56895F20">
            <w:pPr>
              <w:spacing w:after="0" w:line="240" w:lineRule="auto"/>
              <w:rPr>
                <w:rFonts w:eastAsia="Times New Roman" w:cs="Times New Roman"/>
                <w:color w:val="000000"/>
                <w:sz w:val="24"/>
                <w:szCs w:val="24"/>
              </w:rPr>
            </w:pPr>
          </w:p>
        </w:tc>
        <w:tc>
          <w:tcPr>
            <w:tcW w:w="592" w:type="pct"/>
            <w:tcBorders>
              <w:top w:val="single" w:color="auto" w:sz="4" w:space="0"/>
              <w:left w:val="nil"/>
              <w:bottom w:val="single" w:color="auto" w:sz="4" w:space="0"/>
              <w:right w:val="nil"/>
            </w:tcBorders>
            <w:shd w:val="clear" w:color="auto" w:fill="auto"/>
            <w:noWrap/>
            <w:vAlign w:val="bottom"/>
          </w:tcPr>
          <w:p w:rsidRPr="00F92848" w:rsidR="008410CB" w:rsidP="00482557" w:rsidRDefault="003C42E4" w14:paraId="45550E66" w14:textId="43AB02B6">
            <w:pPr>
              <w:spacing w:after="0" w:line="240" w:lineRule="auto"/>
              <w:rPr>
                <w:rFonts w:eastAsia="Times New Roman" w:cs="Times New Roman"/>
                <w:color w:val="000000"/>
                <w:sz w:val="24"/>
                <w:szCs w:val="24"/>
              </w:rPr>
            </w:pPr>
            <w:r w:rsidRPr="00F92848">
              <w:rPr>
                <w:rFonts w:eastAsia="Times New Roman" w:cs="Times New Roman"/>
                <w:color w:val="000000"/>
                <w:sz w:val="24"/>
                <w:szCs w:val="24"/>
              </w:rPr>
              <w:t>Non-</w:t>
            </w:r>
            <w:r w:rsidRPr="00F92848" w:rsidR="0007333F">
              <w:rPr>
                <w:rFonts w:eastAsia="Times New Roman" w:cs="Times New Roman"/>
                <w:color w:val="000000"/>
                <w:sz w:val="24"/>
                <w:szCs w:val="24"/>
              </w:rPr>
              <w:t>ACUE</w:t>
            </w:r>
          </w:p>
        </w:tc>
        <w:tc>
          <w:tcPr>
            <w:tcW w:w="592" w:type="pct"/>
            <w:tcBorders>
              <w:top w:val="single" w:color="auto" w:sz="4" w:space="0"/>
              <w:left w:val="nil"/>
              <w:bottom w:val="single" w:color="auto" w:sz="4" w:space="0"/>
              <w:right w:val="nil"/>
            </w:tcBorders>
            <w:shd w:val="clear" w:color="auto" w:fill="auto"/>
            <w:noWrap/>
            <w:vAlign w:val="bottom"/>
          </w:tcPr>
          <w:p w:rsidRPr="00F92848" w:rsidR="008410CB" w:rsidP="00482557" w:rsidRDefault="008410CB" w14:paraId="6B163585" w14:textId="31B169FB">
            <w:pPr>
              <w:spacing w:after="0" w:line="240" w:lineRule="auto"/>
              <w:rPr>
                <w:rFonts w:eastAsia="Times New Roman" w:cs="Times New Roman"/>
                <w:color w:val="000000"/>
                <w:sz w:val="24"/>
                <w:szCs w:val="24"/>
              </w:rPr>
            </w:pPr>
          </w:p>
        </w:tc>
        <w:tc>
          <w:tcPr>
            <w:tcW w:w="592" w:type="pct"/>
            <w:tcBorders>
              <w:top w:val="single" w:color="auto" w:sz="4" w:space="0"/>
              <w:left w:val="nil"/>
              <w:bottom w:val="single" w:color="auto" w:sz="4" w:space="0"/>
              <w:right w:val="nil"/>
            </w:tcBorders>
            <w:shd w:val="clear" w:color="auto" w:fill="auto"/>
            <w:noWrap/>
            <w:vAlign w:val="bottom"/>
          </w:tcPr>
          <w:p w:rsidRPr="00F92848" w:rsidR="008410CB" w:rsidP="00482557" w:rsidRDefault="0007333F" w14:paraId="4E1020AF" w14:textId="45C0B778">
            <w:pPr>
              <w:spacing w:after="0" w:line="240" w:lineRule="auto"/>
              <w:rPr>
                <w:rFonts w:eastAsia="Times New Roman" w:cs="Times New Roman"/>
                <w:color w:val="000000"/>
                <w:sz w:val="24"/>
                <w:szCs w:val="24"/>
              </w:rPr>
            </w:pPr>
            <w:r w:rsidRPr="00F92848">
              <w:rPr>
                <w:rFonts w:eastAsia="Times New Roman" w:cs="Times New Roman"/>
                <w:color w:val="000000"/>
                <w:sz w:val="24"/>
                <w:szCs w:val="24"/>
              </w:rPr>
              <w:t>ACUE</w:t>
            </w:r>
          </w:p>
        </w:tc>
        <w:tc>
          <w:tcPr>
            <w:tcW w:w="592" w:type="pct"/>
            <w:tcBorders>
              <w:top w:val="single" w:color="auto" w:sz="4" w:space="0"/>
              <w:left w:val="nil"/>
              <w:bottom w:val="single" w:color="auto" w:sz="4" w:space="0"/>
              <w:right w:val="nil"/>
            </w:tcBorders>
            <w:shd w:val="clear" w:color="auto" w:fill="auto"/>
            <w:noWrap/>
            <w:vAlign w:val="bottom"/>
          </w:tcPr>
          <w:p w:rsidRPr="00F92848" w:rsidR="008410CB" w:rsidP="00482557" w:rsidRDefault="008410CB" w14:paraId="5BC2ACAB" w14:textId="4E93BCED">
            <w:pPr>
              <w:spacing w:after="0" w:line="240" w:lineRule="auto"/>
              <w:rPr>
                <w:rFonts w:eastAsia="Times New Roman" w:cs="Times New Roman"/>
                <w:color w:val="000000"/>
                <w:sz w:val="24"/>
                <w:szCs w:val="24"/>
              </w:rPr>
            </w:pPr>
          </w:p>
        </w:tc>
        <w:tc>
          <w:tcPr>
            <w:tcW w:w="368" w:type="pct"/>
            <w:tcBorders>
              <w:top w:val="single" w:color="auto" w:sz="4" w:space="0"/>
              <w:left w:val="nil"/>
              <w:bottom w:val="single" w:color="auto" w:sz="4" w:space="0"/>
              <w:right w:val="nil"/>
            </w:tcBorders>
            <w:shd w:val="clear" w:color="auto" w:fill="auto"/>
            <w:noWrap/>
            <w:vAlign w:val="bottom"/>
          </w:tcPr>
          <w:p w:rsidRPr="00F92848" w:rsidR="008410CB" w:rsidP="00482557" w:rsidRDefault="008410CB" w14:paraId="566706D1" w14:textId="6F1332E0">
            <w:pPr>
              <w:spacing w:after="0" w:line="240" w:lineRule="auto"/>
              <w:rPr>
                <w:rFonts w:eastAsia="Times New Roman" w:cs="Times New Roman"/>
                <w:color w:val="000000"/>
                <w:sz w:val="24"/>
                <w:szCs w:val="24"/>
              </w:rPr>
            </w:pPr>
          </w:p>
        </w:tc>
      </w:tr>
      <w:tr w:rsidRPr="00F92848" w:rsidR="003C42E4" w:rsidTr="000C216E" w14:paraId="43E2DA69" w14:textId="77777777">
        <w:trPr>
          <w:trHeight w:val="288"/>
        </w:trPr>
        <w:tc>
          <w:tcPr>
            <w:tcW w:w="2264" w:type="pct"/>
            <w:tcBorders>
              <w:left w:val="nil"/>
              <w:bottom w:val="single" w:color="auto" w:sz="4" w:space="0"/>
              <w:right w:val="nil"/>
            </w:tcBorders>
            <w:shd w:val="clear" w:color="auto" w:fill="auto"/>
            <w:noWrap/>
            <w:vAlign w:val="bottom"/>
          </w:tcPr>
          <w:p w:rsidRPr="00F92848" w:rsidR="003C42E4" w:rsidP="003C42E4" w:rsidRDefault="003C42E4" w14:paraId="57024C06" w14:textId="2EAC0971">
            <w:pPr>
              <w:spacing w:after="0" w:line="240" w:lineRule="auto"/>
              <w:rPr>
                <w:rFonts w:eastAsia="Times New Roman" w:cs="Times New Roman"/>
                <w:color w:val="000000"/>
                <w:sz w:val="24"/>
                <w:szCs w:val="24"/>
              </w:rPr>
            </w:pPr>
            <w:r w:rsidRPr="00F92848">
              <w:rPr>
                <w:rFonts w:eastAsia="Times New Roman" w:cs="Times New Roman"/>
                <w:color w:val="000000"/>
                <w:sz w:val="24"/>
                <w:szCs w:val="24"/>
              </w:rPr>
              <w:t>College</w:t>
            </w:r>
          </w:p>
        </w:tc>
        <w:tc>
          <w:tcPr>
            <w:tcW w:w="592" w:type="pct"/>
            <w:tcBorders>
              <w:top w:val="single" w:color="auto" w:sz="4" w:space="0"/>
              <w:left w:val="nil"/>
              <w:bottom w:val="single" w:color="auto" w:sz="4" w:space="0"/>
              <w:right w:val="nil"/>
            </w:tcBorders>
            <w:shd w:val="clear" w:color="auto" w:fill="auto"/>
            <w:noWrap/>
            <w:vAlign w:val="bottom"/>
          </w:tcPr>
          <w:p w:rsidRPr="00F92848" w:rsidR="003C42E4" w:rsidP="003C42E4" w:rsidRDefault="003C42E4" w14:paraId="0E2B5A99" w14:textId="18F2FADC">
            <w:pPr>
              <w:spacing w:after="0" w:line="240" w:lineRule="auto"/>
              <w:rPr>
                <w:rFonts w:eastAsia="Times New Roman" w:cs="Times New Roman"/>
                <w:i/>
                <w:iCs/>
                <w:color w:val="000000"/>
                <w:sz w:val="24"/>
                <w:szCs w:val="24"/>
              </w:rPr>
            </w:pPr>
            <w:r w:rsidRPr="00F92848">
              <w:rPr>
                <w:rFonts w:eastAsia="Times New Roman" w:cs="Times New Roman"/>
                <w:i/>
                <w:iCs/>
                <w:color w:val="000000"/>
                <w:sz w:val="24"/>
                <w:szCs w:val="24"/>
              </w:rPr>
              <w:t>M</w:t>
            </w:r>
          </w:p>
        </w:tc>
        <w:tc>
          <w:tcPr>
            <w:tcW w:w="592" w:type="pct"/>
            <w:tcBorders>
              <w:top w:val="single" w:color="auto" w:sz="4" w:space="0"/>
              <w:left w:val="nil"/>
              <w:bottom w:val="single" w:color="auto" w:sz="4" w:space="0"/>
              <w:right w:val="nil"/>
            </w:tcBorders>
            <w:shd w:val="clear" w:color="auto" w:fill="auto"/>
            <w:noWrap/>
            <w:vAlign w:val="bottom"/>
          </w:tcPr>
          <w:p w:rsidRPr="00F92848" w:rsidR="003C42E4" w:rsidP="003C42E4" w:rsidRDefault="003C42E4" w14:paraId="303F5FF2" w14:textId="3C8E9659">
            <w:pPr>
              <w:spacing w:after="0" w:line="240" w:lineRule="auto"/>
              <w:rPr>
                <w:rFonts w:eastAsia="Times New Roman" w:cs="Times New Roman"/>
                <w:i/>
                <w:iCs/>
                <w:color w:val="000000"/>
                <w:sz w:val="24"/>
                <w:szCs w:val="24"/>
              </w:rPr>
            </w:pPr>
            <w:r w:rsidRPr="00F92848">
              <w:rPr>
                <w:rFonts w:eastAsia="Times New Roman" w:cs="Times New Roman"/>
                <w:i/>
                <w:iCs/>
                <w:color w:val="000000"/>
                <w:sz w:val="24"/>
                <w:szCs w:val="24"/>
              </w:rPr>
              <w:t>SD</w:t>
            </w:r>
          </w:p>
        </w:tc>
        <w:tc>
          <w:tcPr>
            <w:tcW w:w="592" w:type="pct"/>
            <w:tcBorders>
              <w:top w:val="single" w:color="auto" w:sz="4" w:space="0"/>
              <w:left w:val="nil"/>
              <w:bottom w:val="single" w:color="auto" w:sz="4" w:space="0"/>
              <w:right w:val="nil"/>
            </w:tcBorders>
            <w:shd w:val="clear" w:color="auto" w:fill="auto"/>
            <w:noWrap/>
            <w:vAlign w:val="bottom"/>
          </w:tcPr>
          <w:p w:rsidRPr="00F92848" w:rsidR="003C42E4" w:rsidP="003C42E4" w:rsidRDefault="003C42E4" w14:paraId="0A50A1E1" w14:textId="452AB8A9">
            <w:pPr>
              <w:spacing w:after="0" w:line="240" w:lineRule="auto"/>
              <w:rPr>
                <w:rFonts w:eastAsia="Times New Roman" w:cs="Times New Roman"/>
                <w:i/>
                <w:iCs/>
                <w:color w:val="000000"/>
                <w:sz w:val="24"/>
                <w:szCs w:val="24"/>
              </w:rPr>
            </w:pPr>
            <w:r w:rsidRPr="00F92848">
              <w:rPr>
                <w:rFonts w:eastAsia="Times New Roman" w:cs="Times New Roman"/>
                <w:i/>
                <w:iCs/>
                <w:color w:val="000000"/>
                <w:sz w:val="24"/>
                <w:szCs w:val="24"/>
              </w:rPr>
              <w:t>M</w:t>
            </w:r>
          </w:p>
        </w:tc>
        <w:tc>
          <w:tcPr>
            <w:tcW w:w="592" w:type="pct"/>
            <w:tcBorders>
              <w:top w:val="single" w:color="auto" w:sz="4" w:space="0"/>
              <w:left w:val="nil"/>
              <w:bottom w:val="single" w:color="auto" w:sz="4" w:space="0"/>
              <w:right w:val="nil"/>
            </w:tcBorders>
            <w:shd w:val="clear" w:color="auto" w:fill="auto"/>
            <w:noWrap/>
            <w:vAlign w:val="bottom"/>
          </w:tcPr>
          <w:p w:rsidRPr="00F92848" w:rsidR="003C42E4" w:rsidP="003C42E4" w:rsidRDefault="003C42E4" w14:paraId="525EFBD8" w14:textId="12FB0D8E">
            <w:pPr>
              <w:spacing w:after="0" w:line="240" w:lineRule="auto"/>
              <w:rPr>
                <w:rFonts w:eastAsia="Times New Roman" w:cs="Times New Roman"/>
                <w:i/>
                <w:iCs/>
                <w:color w:val="000000"/>
                <w:sz w:val="24"/>
                <w:szCs w:val="24"/>
              </w:rPr>
            </w:pPr>
            <w:r w:rsidRPr="00F92848">
              <w:rPr>
                <w:rFonts w:eastAsia="Times New Roman" w:cs="Times New Roman"/>
                <w:i/>
                <w:iCs/>
                <w:color w:val="000000"/>
                <w:sz w:val="24"/>
                <w:szCs w:val="24"/>
              </w:rPr>
              <w:t>SD</w:t>
            </w:r>
          </w:p>
        </w:tc>
        <w:tc>
          <w:tcPr>
            <w:tcW w:w="368" w:type="pct"/>
            <w:tcBorders>
              <w:top w:val="single" w:color="auto" w:sz="4" w:space="0"/>
              <w:left w:val="nil"/>
              <w:bottom w:val="single" w:color="auto" w:sz="4" w:space="0"/>
              <w:right w:val="nil"/>
            </w:tcBorders>
            <w:shd w:val="clear" w:color="auto" w:fill="auto"/>
            <w:noWrap/>
            <w:vAlign w:val="bottom"/>
          </w:tcPr>
          <w:p w:rsidRPr="00F92848" w:rsidR="003C42E4" w:rsidP="003C42E4" w:rsidRDefault="003C42E4" w14:paraId="20F075C5" w14:textId="4443B21D">
            <w:pPr>
              <w:spacing w:after="0" w:line="240" w:lineRule="auto"/>
              <w:rPr>
                <w:rFonts w:eastAsia="Times New Roman" w:cs="Times New Roman"/>
                <w:i/>
                <w:iCs/>
                <w:color w:val="000000"/>
                <w:sz w:val="24"/>
                <w:szCs w:val="24"/>
              </w:rPr>
            </w:pPr>
            <w:r w:rsidRPr="00F92848">
              <w:rPr>
                <w:rFonts w:eastAsia="Times New Roman" w:cs="Times New Roman"/>
                <w:i/>
                <w:iCs/>
                <w:color w:val="000000"/>
                <w:sz w:val="24"/>
                <w:szCs w:val="24"/>
              </w:rPr>
              <w:t>N</w:t>
            </w:r>
          </w:p>
        </w:tc>
      </w:tr>
      <w:tr w:rsidRPr="00F92848" w:rsidR="003C42E4" w:rsidTr="00482557" w14:paraId="611FD404" w14:textId="77777777">
        <w:trPr>
          <w:trHeight w:val="288"/>
        </w:trPr>
        <w:tc>
          <w:tcPr>
            <w:tcW w:w="2264" w:type="pct"/>
            <w:tcBorders>
              <w:top w:val="single" w:color="auto" w:sz="4" w:space="0"/>
              <w:left w:val="nil"/>
              <w:bottom w:val="nil"/>
              <w:right w:val="nil"/>
            </w:tcBorders>
            <w:shd w:val="clear" w:color="auto" w:fill="auto"/>
            <w:noWrap/>
            <w:vAlign w:val="bottom"/>
            <w:hideMark/>
          </w:tcPr>
          <w:p w:rsidRPr="00F92848" w:rsidR="003C42E4" w:rsidP="003C42E4" w:rsidRDefault="003C42E4" w14:paraId="6CAF5A6B" w14:textId="77777777">
            <w:pPr>
              <w:spacing w:after="0" w:line="240" w:lineRule="auto"/>
              <w:rPr>
                <w:rFonts w:eastAsia="Times New Roman" w:cs="Times New Roman"/>
                <w:color w:val="000000"/>
                <w:sz w:val="24"/>
                <w:szCs w:val="24"/>
              </w:rPr>
            </w:pPr>
            <w:r w:rsidRPr="00F92848">
              <w:rPr>
                <w:rFonts w:eastAsia="Times New Roman" w:cs="Times New Roman"/>
                <w:color w:val="000000"/>
                <w:sz w:val="24"/>
                <w:szCs w:val="24"/>
              </w:rPr>
              <w:t>Arts and Media</w:t>
            </w:r>
          </w:p>
        </w:tc>
        <w:tc>
          <w:tcPr>
            <w:tcW w:w="592" w:type="pct"/>
            <w:tcBorders>
              <w:top w:val="single" w:color="auto" w:sz="4" w:space="0"/>
              <w:left w:val="nil"/>
              <w:bottom w:val="nil"/>
              <w:right w:val="nil"/>
            </w:tcBorders>
            <w:shd w:val="clear" w:color="auto" w:fill="auto"/>
            <w:noWrap/>
            <w:vAlign w:val="bottom"/>
            <w:hideMark/>
          </w:tcPr>
          <w:p w:rsidRPr="00F92848" w:rsidR="003C42E4" w:rsidP="003C42E4" w:rsidRDefault="003C42E4" w14:paraId="1E2CB708" w14:textId="09061001">
            <w:pPr>
              <w:spacing w:after="0" w:line="240" w:lineRule="auto"/>
              <w:jc w:val="right"/>
              <w:rPr>
                <w:rFonts w:eastAsia="Times New Roman" w:cs="Times New Roman"/>
                <w:color w:val="000000"/>
                <w:sz w:val="24"/>
                <w:szCs w:val="24"/>
              </w:rPr>
            </w:pPr>
            <w:r w:rsidRPr="00F92848">
              <w:rPr>
                <w:color w:val="000000"/>
                <w:sz w:val="24"/>
                <w:szCs w:val="24"/>
              </w:rPr>
              <w:t>4.4287</w:t>
            </w:r>
          </w:p>
        </w:tc>
        <w:tc>
          <w:tcPr>
            <w:tcW w:w="592" w:type="pct"/>
            <w:tcBorders>
              <w:top w:val="single" w:color="auto" w:sz="4" w:space="0"/>
              <w:left w:val="nil"/>
              <w:bottom w:val="nil"/>
              <w:right w:val="nil"/>
            </w:tcBorders>
            <w:shd w:val="clear" w:color="auto" w:fill="auto"/>
            <w:noWrap/>
            <w:vAlign w:val="bottom"/>
            <w:hideMark/>
          </w:tcPr>
          <w:p w:rsidRPr="00F92848" w:rsidR="003C42E4" w:rsidP="003C42E4" w:rsidRDefault="003C42E4" w14:paraId="347660A2" w14:textId="55D737D4">
            <w:pPr>
              <w:spacing w:after="0" w:line="240" w:lineRule="auto"/>
              <w:jc w:val="right"/>
              <w:rPr>
                <w:rFonts w:eastAsia="Times New Roman" w:cs="Times New Roman"/>
                <w:color w:val="000000"/>
                <w:sz w:val="24"/>
                <w:szCs w:val="24"/>
              </w:rPr>
            </w:pPr>
            <w:r w:rsidRPr="00F92848">
              <w:rPr>
                <w:color w:val="000000"/>
                <w:sz w:val="24"/>
                <w:szCs w:val="24"/>
              </w:rPr>
              <w:t>0.62915</w:t>
            </w:r>
          </w:p>
        </w:tc>
        <w:tc>
          <w:tcPr>
            <w:tcW w:w="592" w:type="pct"/>
            <w:tcBorders>
              <w:top w:val="single" w:color="auto" w:sz="4" w:space="0"/>
              <w:left w:val="nil"/>
              <w:bottom w:val="nil"/>
              <w:right w:val="nil"/>
            </w:tcBorders>
            <w:shd w:val="clear" w:color="auto" w:fill="auto"/>
            <w:noWrap/>
            <w:vAlign w:val="bottom"/>
            <w:hideMark/>
          </w:tcPr>
          <w:p w:rsidRPr="00F92848" w:rsidR="003C42E4" w:rsidP="003C42E4" w:rsidRDefault="003C42E4" w14:paraId="3C65FF91" w14:textId="6F57969A">
            <w:pPr>
              <w:spacing w:after="0" w:line="240" w:lineRule="auto"/>
              <w:jc w:val="right"/>
              <w:rPr>
                <w:rFonts w:eastAsia="Times New Roman" w:cs="Times New Roman"/>
                <w:color w:val="000000"/>
                <w:sz w:val="24"/>
                <w:szCs w:val="24"/>
              </w:rPr>
            </w:pPr>
            <w:r w:rsidRPr="00F92848">
              <w:rPr>
                <w:color w:val="000000"/>
                <w:sz w:val="24"/>
                <w:szCs w:val="24"/>
              </w:rPr>
              <w:t>4.6584</w:t>
            </w:r>
          </w:p>
        </w:tc>
        <w:tc>
          <w:tcPr>
            <w:tcW w:w="592" w:type="pct"/>
            <w:tcBorders>
              <w:top w:val="single" w:color="auto" w:sz="4" w:space="0"/>
              <w:left w:val="nil"/>
              <w:bottom w:val="nil"/>
              <w:right w:val="nil"/>
            </w:tcBorders>
            <w:shd w:val="clear" w:color="auto" w:fill="auto"/>
            <w:noWrap/>
            <w:vAlign w:val="bottom"/>
            <w:hideMark/>
          </w:tcPr>
          <w:p w:rsidRPr="00F92848" w:rsidR="003C42E4" w:rsidP="003C42E4" w:rsidRDefault="003C42E4" w14:paraId="300A39EA" w14:textId="51FEC9AC">
            <w:pPr>
              <w:spacing w:after="0" w:line="240" w:lineRule="auto"/>
              <w:jc w:val="right"/>
              <w:rPr>
                <w:rFonts w:eastAsia="Times New Roman" w:cs="Times New Roman"/>
                <w:color w:val="000000"/>
                <w:sz w:val="24"/>
                <w:szCs w:val="24"/>
              </w:rPr>
            </w:pPr>
            <w:r w:rsidRPr="00F92848">
              <w:rPr>
                <w:color w:val="000000"/>
                <w:sz w:val="24"/>
                <w:szCs w:val="24"/>
              </w:rPr>
              <w:t>0.40511</w:t>
            </w:r>
          </w:p>
        </w:tc>
        <w:tc>
          <w:tcPr>
            <w:tcW w:w="368" w:type="pct"/>
            <w:tcBorders>
              <w:top w:val="single" w:color="auto" w:sz="4" w:space="0"/>
              <w:left w:val="nil"/>
              <w:bottom w:val="nil"/>
              <w:right w:val="nil"/>
            </w:tcBorders>
            <w:shd w:val="clear" w:color="auto" w:fill="auto"/>
            <w:noWrap/>
            <w:vAlign w:val="bottom"/>
            <w:hideMark/>
          </w:tcPr>
          <w:p w:rsidRPr="00F92848" w:rsidR="003C42E4" w:rsidP="003C42E4" w:rsidRDefault="003C42E4" w14:paraId="135C907D" w14:textId="26049651">
            <w:pPr>
              <w:spacing w:after="0" w:line="240" w:lineRule="auto"/>
              <w:jc w:val="right"/>
              <w:rPr>
                <w:rFonts w:eastAsia="Times New Roman" w:cs="Times New Roman"/>
                <w:color w:val="000000"/>
                <w:sz w:val="24"/>
                <w:szCs w:val="24"/>
              </w:rPr>
            </w:pPr>
            <w:r w:rsidRPr="00F92848">
              <w:rPr>
                <w:color w:val="000000"/>
                <w:sz w:val="24"/>
                <w:szCs w:val="24"/>
              </w:rPr>
              <w:t>125</w:t>
            </w:r>
          </w:p>
        </w:tc>
      </w:tr>
      <w:tr w:rsidRPr="00F92848" w:rsidR="003C42E4" w:rsidTr="00482557" w14:paraId="19375F58" w14:textId="77777777">
        <w:trPr>
          <w:trHeight w:val="288"/>
        </w:trPr>
        <w:tc>
          <w:tcPr>
            <w:tcW w:w="2264" w:type="pct"/>
            <w:tcBorders>
              <w:top w:val="nil"/>
              <w:left w:val="nil"/>
              <w:bottom w:val="nil"/>
              <w:right w:val="nil"/>
            </w:tcBorders>
            <w:shd w:val="clear" w:color="auto" w:fill="auto"/>
            <w:noWrap/>
            <w:vAlign w:val="bottom"/>
            <w:hideMark/>
          </w:tcPr>
          <w:p w:rsidRPr="00F92848" w:rsidR="003C42E4" w:rsidP="003C42E4" w:rsidRDefault="003C42E4" w14:paraId="1D1577AB" w14:textId="77777777">
            <w:pPr>
              <w:spacing w:after="0" w:line="240" w:lineRule="auto"/>
              <w:rPr>
                <w:rFonts w:eastAsia="Times New Roman" w:cs="Times New Roman"/>
                <w:color w:val="000000"/>
                <w:sz w:val="24"/>
                <w:szCs w:val="24"/>
              </w:rPr>
            </w:pPr>
            <w:r w:rsidRPr="00F92848">
              <w:rPr>
                <w:rFonts w:eastAsia="Times New Roman" w:cs="Times New Roman"/>
                <w:color w:val="000000"/>
                <w:sz w:val="24"/>
                <w:szCs w:val="24"/>
              </w:rPr>
              <w:t>Business Administration</w:t>
            </w:r>
          </w:p>
        </w:tc>
        <w:tc>
          <w:tcPr>
            <w:tcW w:w="592" w:type="pct"/>
            <w:tcBorders>
              <w:top w:val="nil"/>
              <w:left w:val="nil"/>
              <w:bottom w:val="nil"/>
              <w:right w:val="nil"/>
            </w:tcBorders>
            <w:shd w:val="clear" w:color="auto" w:fill="auto"/>
            <w:noWrap/>
            <w:vAlign w:val="bottom"/>
            <w:hideMark/>
          </w:tcPr>
          <w:p w:rsidRPr="00F92848" w:rsidR="003C42E4" w:rsidP="003C42E4" w:rsidRDefault="003C42E4" w14:paraId="5B9CA945" w14:textId="4E6CD8BF">
            <w:pPr>
              <w:spacing w:after="0" w:line="240" w:lineRule="auto"/>
              <w:jc w:val="right"/>
              <w:rPr>
                <w:rFonts w:eastAsia="Times New Roman" w:cs="Times New Roman"/>
                <w:color w:val="000000"/>
                <w:sz w:val="24"/>
                <w:szCs w:val="24"/>
              </w:rPr>
            </w:pPr>
            <w:r w:rsidRPr="00F92848">
              <w:rPr>
                <w:color w:val="000000"/>
                <w:sz w:val="24"/>
                <w:szCs w:val="24"/>
              </w:rPr>
              <w:t>4.3054</w:t>
            </w:r>
          </w:p>
        </w:tc>
        <w:tc>
          <w:tcPr>
            <w:tcW w:w="592" w:type="pct"/>
            <w:tcBorders>
              <w:top w:val="nil"/>
              <w:left w:val="nil"/>
              <w:bottom w:val="nil"/>
              <w:right w:val="nil"/>
            </w:tcBorders>
            <w:shd w:val="clear" w:color="auto" w:fill="auto"/>
            <w:noWrap/>
            <w:vAlign w:val="bottom"/>
            <w:hideMark/>
          </w:tcPr>
          <w:p w:rsidRPr="00F92848" w:rsidR="003C42E4" w:rsidP="003C42E4" w:rsidRDefault="003C42E4" w14:paraId="2416A737" w14:textId="38ADE85F">
            <w:pPr>
              <w:spacing w:after="0" w:line="240" w:lineRule="auto"/>
              <w:jc w:val="right"/>
              <w:rPr>
                <w:rFonts w:eastAsia="Times New Roman" w:cs="Times New Roman"/>
                <w:color w:val="000000"/>
                <w:sz w:val="24"/>
                <w:szCs w:val="24"/>
              </w:rPr>
            </w:pPr>
            <w:r w:rsidRPr="00F92848">
              <w:rPr>
                <w:color w:val="000000"/>
                <w:sz w:val="24"/>
                <w:szCs w:val="24"/>
              </w:rPr>
              <w:t>0.434</w:t>
            </w:r>
          </w:p>
        </w:tc>
        <w:tc>
          <w:tcPr>
            <w:tcW w:w="592" w:type="pct"/>
            <w:tcBorders>
              <w:top w:val="nil"/>
              <w:left w:val="nil"/>
              <w:bottom w:val="nil"/>
              <w:right w:val="nil"/>
            </w:tcBorders>
            <w:shd w:val="clear" w:color="auto" w:fill="auto"/>
            <w:noWrap/>
            <w:vAlign w:val="bottom"/>
            <w:hideMark/>
          </w:tcPr>
          <w:p w:rsidRPr="00F92848" w:rsidR="003C42E4" w:rsidP="003C42E4" w:rsidRDefault="003C42E4" w14:paraId="1419B915" w14:textId="75421D4A">
            <w:pPr>
              <w:spacing w:after="0" w:line="240" w:lineRule="auto"/>
              <w:jc w:val="right"/>
              <w:rPr>
                <w:rFonts w:eastAsia="Times New Roman" w:cs="Times New Roman"/>
                <w:color w:val="000000"/>
                <w:sz w:val="24"/>
                <w:szCs w:val="24"/>
              </w:rPr>
            </w:pPr>
            <w:r w:rsidRPr="00F92848">
              <w:rPr>
                <w:color w:val="000000"/>
                <w:sz w:val="24"/>
                <w:szCs w:val="24"/>
              </w:rPr>
              <w:t>4.3762</w:t>
            </w:r>
          </w:p>
        </w:tc>
        <w:tc>
          <w:tcPr>
            <w:tcW w:w="592" w:type="pct"/>
            <w:tcBorders>
              <w:top w:val="nil"/>
              <w:left w:val="nil"/>
              <w:bottom w:val="nil"/>
              <w:right w:val="nil"/>
            </w:tcBorders>
            <w:shd w:val="clear" w:color="auto" w:fill="auto"/>
            <w:noWrap/>
            <w:vAlign w:val="bottom"/>
            <w:hideMark/>
          </w:tcPr>
          <w:p w:rsidRPr="00F92848" w:rsidR="003C42E4" w:rsidP="003C42E4" w:rsidRDefault="003C42E4" w14:paraId="39DE14C6" w14:textId="0619DC73">
            <w:pPr>
              <w:spacing w:after="0" w:line="240" w:lineRule="auto"/>
              <w:jc w:val="right"/>
              <w:rPr>
                <w:rFonts w:eastAsia="Times New Roman" w:cs="Times New Roman"/>
                <w:color w:val="000000"/>
                <w:sz w:val="24"/>
                <w:szCs w:val="24"/>
              </w:rPr>
            </w:pPr>
            <w:r w:rsidRPr="00F92848">
              <w:rPr>
                <w:color w:val="000000"/>
                <w:sz w:val="24"/>
                <w:szCs w:val="24"/>
              </w:rPr>
              <w:t>0.60695</w:t>
            </w:r>
          </w:p>
        </w:tc>
        <w:tc>
          <w:tcPr>
            <w:tcW w:w="368" w:type="pct"/>
            <w:tcBorders>
              <w:top w:val="nil"/>
              <w:left w:val="nil"/>
              <w:bottom w:val="nil"/>
              <w:right w:val="nil"/>
            </w:tcBorders>
            <w:shd w:val="clear" w:color="auto" w:fill="auto"/>
            <w:noWrap/>
            <w:vAlign w:val="bottom"/>
            <w:hideMark/>
          </w:tcPr>
          <w:p w:rsidRPr="00F92848" w:rsidR="003C42E4" w:rsidP="003C42E4" w:rsidRDefault="003C42E4" w14:paraId="17CFC7F9" w14:textId="6BA8C41A">
            <w:pPr>
              <w:spacing w:after="0" w:line="240" w:lineRule="auto"/>
              <w:jc w:val="right"/>
              <w:rPr>
                <w:rFonts w:eastAsia="Times New Roman" w:cs="Times New Roman"/>
                <w:color w:val="000000"/>
                <w:sz w:val="24"/>
                <w:szCs w:val="24"/>
              </w:rPr>
            </w:pPr>
            <w:r w:rsidRPr="00F92848">
              <w:rPr>
                <w:color w:val="000000"/>
                <w:sz w:val="24"/>
                <w:szCs w:val="24"/>
              </w:rPr>
              <w:t>134</w:t>
            </w:r>
          </w:p>
        </w:tc>
      </w:tr>
      <w:tr w:rsidRPr="00F92848" w:rsidR="003C42E4" w:rsidTr="00482557" w14:paraId="71BE562B" w14:textId="77777777">
        <w:trPr>
          <w:trHeight w:val="288"/>
        </w:trPr>
        <w:tc>
          <w:tcPr>
            <w:tcW w:w="2264" w:type="pct"/>
            <w:tcBorders>
              <w:top w:val="nil"/>
              <w:left w:val="nil"/>
              <w:bottom w:val="nil"/>
              <w:right w:val="nil"/>
            </w:tcBorders>
            <w:shd w:val="clear" w:color="auto" w:fill="auto"/>
            <w:noWrap/>
            <w:vAlign w:val="bottom"/>
            <w:hideMark/>
          </w:tcPr>
          <w:p w:rsidRPr="00F92848" w:rsidR="003C42E4" w:rsidP="003C42E4" w:rsidRDefault="003C42E4" w14:paraId="7C517C2C" w14:textId="77777777">
            <w:pPr>
              <w:spacing w:after="0" w:line="240" w:lineRule="auto"/>
              <w:rPr>
                <w:rFonts w:eastAsia="Times New Roman" w:cs="Times New Roman"/>
                <w:color w:val="000000"/>
                <w:sz w:val="24"/>
                <w:szCs w:val="24"/>
              </w:rPr>
            </w:pPr>
            <w:r w:rsidRPr="00F92848">
              <w:rPr>
                <w:rFonts w:eastAsia="Times New Roman" w:cs="Times New Roman"/>
                <w:color w:val="000000"/>
                <w:sz w:val="24"/>
                <w:szCs w:val="24"/>
              </w:rPr>
              <w:t>Criminal Justice</w:t>
            </w:r>
          </w:p>
        </w:tc>
        <w:tc>
          <w:tcPr>
            <w:tcW w:w="592" w:type="pct"/>
            <w:tcBorders>
              <w:top w:val="nil"/>
              <w:left w:val="nil"/>
              <w:bottom w:val="nil"/>
              <w:right w:val="nil"/>
            </w:tcBorders>
            <w:shd w:val="clear" w:color="auto" w:fill="auto"/>
            <w:noWrap/>
            <w:vAlign w:val="bottom"/>
            <w:hideMark/>
          </w:tcPr>
          <w:p w:rsidRPr="00F92848" w:rsidR="003C42E4" w:rsidP="003C42E4" w:rsidRDefault="003C42E4" w14:paraId="5D158F94" w14:textId="4D7732BF">
            <w:pPr>
              <w:spacing w:after="0" w:line="240" w:lineRule="auto"/>
              <w:jc w:val="right"/>
              <w:rPr>
                <w:rFonts w:eastAsia="Times New Roman" w:cs="Times New Roman"/>
                <w:color w:val="000000"/>
                <w:sz w:val="24"/>
                <w:szCs w:val="24"/>
              </w:rPr>
            </w:pPr>
            <w:r w:rsidRPr="00F92848">
              <w:rPr>
                <w:color w:val="000000"/>
                <w:sz w:val="24"/>
                <w:szCs w:val="24"/>
              </w:rPr>
              <w:t>4.4339</w:t>
            </w:r>
          </w:p>
        </w:tc>
        <w:tc>
          <w:tcPr>
            <w:tcW w:w="592" w:type="pct"/>
            <w:tcBorders>
              <w:top w:val="nil"/>
              <w:left w:val="nil"/>
              <w:bottom w:val="nil"/>
              <w:right w:val="nil"/>
            </w:tcBorders>
            <w:shd w:val="clear" w:color="auto" w:fill="auto"/>
            <w:noWrap/>
            <w:vAlign w:val="bottom"/>
            <w:hideMark/>
          </w:tcPr>
          <w:p w:rsidRPr="00F92848" w:rsidR="003C42E4" w:rsidP="003C42E4" w:rsidRDefault="003C42E4" w14:paraId="1F321AAD" w14:textId="4040E964">
            <w:pPr>
              <w:spacing w:after="0" w:line="240" w:lineRule="auto"/>
              <w:jc w:val="right"/>
              <w:rPr>
                <w:rFonts w:eastAsia="Times New Roman" w:cs="Times New Roman"/>
                <w:color w:val="000000"/>
                <w:sz w:val="24"/>
                <w:szCs w:val="24"/>
              </w:rPr>
            </w:pPr>
            <w:r w:rsidRPr="00F92848">
              <w:rPr>
                <w:color w:val="000000"/>
                <w:sz w:val="24"/>
                <w:szCs w:val="24"/>
              </w:rPr>
              <w:t>0.56299</w:t>
            </w:r>
          </w:p>
        </w:tc>
        <w:tc>
          <w:tcPr>
            <w:tcW w:w="592" w:type="pct"/>
            <w:tcBorders>
              <w:top w:val="nil"/>
              <w:left w:val="nil"/>
              <w:bottom w:val="nil"/>
              <w:right w:val="nil"/>
            </w:tcBorders>
            <w:shd w:val="clear" w:color="auto" w:fill="auto"/>
            <w:noWrap/>
            <w:vAlign w:val="bottom"/>
            <w:hideMark/>
          </w:tcPr>
          <w:p w:rsidRPr="00F92848" w:rsidR="003C42E4" w:rsidP="003C42E4" w:rsidRDefault="003C42E4" w14:paraId="603626A1" w14:textId="4BDEB312">
            <w:pPr>
              <w:spacing w:after="0" w:line="240" w:lineRule="auto"/>
              <w:jc w:val="right"/>
              <w:rPr>
                <w:rFonts w:eastAsia="Times New Roman" w:cs="Times New Roman"/>
                <w:color w:val="000000"/>
                <w:sz w:val="24"/>
                <w:szCs w:val="24"/>
              </w:rPr>
            </w:pPr>
            <w:r w:rsidRPr="00F92848">
              <w:rPr>
                <w:color w:val="000000"/>
                <w:sz w:val="24"/>
                <w:szCs w:val="24"/>
              </w:rPr>
              <w:t>4.5461</w:t>
            </w:r>
          </w:p>
        </w:tc>
        <w:tc>
          <w:tcPr>
            <w:tcW w:w="592" w:type="pct"/>
            <w:tcBorders>
              <w:top w:val="nil"/>
              <w:left w:val="nil"/>
              <w:bottom w:val="nil"/>
              <w:right w:val="nil"/>
            </w:tcBorders>
            <w:shd w:val="clear" w:color="auto" w:fill="auto"/>
            <w:noWrap/>
            <w:vAlign w:val="bottom"/>
            <w:hideMark/>
          </w:tcPr>
          <w:p w:rsidRPr="00F92848" w:rsidR="003C42E4" w:rsidP="003C42E4" w:rsidRDefault="003C42E4" w14:paraId="1874C8C8" w14:textId="456E5A39">
            <w:pPr>
              <w:spacing w:after="0" w:line="240" w:lineRule="auto"/>
              <w:jc w:val="right"/>
              <w:rPr>
                <w:rFonts w:eastAsia="Times New Roman" w:cs="Times New Roman"/>
                <w:color w:val="000000"/>
                <w:sz w:val="24"/>
                <w:szCs w:val="24"/>
              </w:rPr>
            </w:pPr>
            <w:r w:rsidRPr="00F92848">
              <w:rPr>
                <w:color w:val="000000"/>
                <w:sz w:val="24"/>
                <w:szCs w:val="24"/>
              </w:rPr>
              <w:t>0.48617</w:t>
            </w:r>
          </w:p>
        </w:tc>
        <w:tc>
          <w:tcPr>
            <w:tcW w:w="368" w:type="pct"/>
            <w:tcBorders>
              <w:top w:val="nil"/>
              <w:left w:val="nil"/>
              <w:bottom w:val="nil"/>
              <w:right w:val="nil"/>
            </w:tcBorders>
            <w:shd w:val="clear" w:color="auto" w:fill="auto"/>
            <w:noWrap/>
            <w:vAlign w:val="bottom"/>
            <w:hideMark/>
          </w:tcPr>
          <w:p w:rsidRPr="00F92848" w:rsidR="003C42E4" w:rsidP="003C42E4" w:rsidRDefault="003C42E4" w14:paraId="53474F69" w14:textId="41E3FE60">
            <w:pPr>
              <w:spacing w:after="0" w:line="240" w:lineRule="auto"/>
              <w:jc w:val="right"/>
              <w:rPr>
                <w:rFonts w:eastAsia="Times New Roman" w:cs="Times New Roman"/>
                <w:color w:val="000000"/>
                <w:sz w:val="24"/>
                <w:szCs w:val="24"/>
              </w:rPr>
            </w:pPr>
            <w:r w:rsidRPr="00F92848">
              <w:rPr>
                <w:color w:val="000000"/>
                <w:sz w:val="24"/>
                <w:szCs w:val="24"/>
              </w:rPr>
              <w:t>135</w:t>
            </w:r>
          </w:p>
        </w:tc>
      </w:tr>
      <w:tr w:rsidRPr="00F92848" w:rsidR="003C42E4" w:rsidTr="00482557" w14:paraId="5AEBC03F" w14:textId="77777777">
        <w:trPr>
          <w:trHeight w:val="288"/>
        </w:trPr>
        <w:tc>
          <w:tcPr>
            <w:tcW w:w="2264" w:type="pct"/>
            <w:tcBorders>
              <w:top w:val="nil"/>
              <w:left w:val="nil"/>
              <w:bottom w:val="nil"/>
              <w:right w:val="nil"/>
            </w:tcBorders>
            <w:shd w:val="clear" w:color="auto" w:fill="auto"/>
            <w:noWrap/>
            <w:vAlign w:val="bottom"/>
            <w:hideMark/>
          </w:tcPr>
          <w:p w:rsidRPr="00F92848" w:rsidR="003C42E4" w:rsidP="003C42E4" w:rsidRDefault="003C42E4" w14:paraId="2DFCA675" w14:textId="77777777">
            <w:pPr>
              <w:spacing w:after="0" w:line="240" w:lineRule="auto"/>
              <w:rPr>
                <w:rFonts w:eastAsia="Times New Roman" w:cs="Times New Roman"/>
                <w:color w:val="000000"/>
                <w:sz w:val="24"/>
                <w:szCs w:val="24"/>
              </w:rPr>
            </w:pPr>
            <w:r w:rsidRPr="00F92848">
              <w:rPr>
                <w:rFonts w:eastAsia="Times New Roman" w:cs="Times New Roman"/>
                <w:color w:val="000000"/>
                <w:sz w:val="24"/>
                <w:szCs w:val="24"/>
              </w:rPr>
              <w:t>Education</w:t>
            </w:r>
          </w:p>
        </w:tc>
        <w:tc>
          <w:tcPr>
            <w:tcW w:w="592" w:type="pct"/>
            <w:tcBorders>
              <w:top w:val="nil"/>
              <w:left w:val="nil"/>
              <w:bottom w:val="nil"/>
              <w:right w:val="nil"/>
            </w:tcBorders>
            <w:shd w:val="clear" w:color="auto" w:fill="auto"/>
            <w:noWrap/>
            <w:vAlign w:val="bottom"/>
            <w:hideMark/>
          </w:tcPr>
          <w:p w:rsidRPr="00F92848" w:rsidR="003C42E4" w:rsidP="003C42E4" w:rsidRDefault="003C42E4" w14:paraId="508AB3A4" w14:textId="0EDC7F66">
            <w:pPr>
              <w:spacing w:after="0" w:line="240" w:lineRule="auto"/>
              <w:jc w:val="right"/>
              <w:rPr>
                <w:rFonts w:eastAsia="Times New Roman" w:cs="Times New Roman"/>
                <w:color w:val="000000"/>
                <w:sz w:val="24"/>
                <w:szCs w:val="24"/>
              </w:rPr>
            </w:pPr>
            <w:r w:rsidRPr="00F92848">
              <w:rPr>
                <w:color w:val="000000"/>
                <w:sz w:val="24"/>
                <w:szCs w:val="24"/>
              </w:rPr>
              <w:t>4.488</w:t>
            </w:r>
          </w:p>
        </w:tc>
        <w:tc>
          <w:tcPr>
            <w:tcW w:w="592" w:type="pct"/>
            <w:tcBorders>
              <w:top w:val="nil"/>
              <w:left w:val="nil"/>
              <w:bottom w:val="nil"/>
              <w:right w:val="nil"/>
            </w:tcBorders>
            <w:shd w:val="clear" w:color="auto" w:fill="auto"/>
            <w:noWrap/>
            <w:vAlign w:val="bottom"/>
            <w:hideMark/>
          </w:tcPr>
          <w:p w:rsidRPr="00F92848" w:rsidR="003C42E4" w:rsidP="003C42E4" w:rsidRDefault="003C42E4" w14:paraId="741A6BF3" w14:textId="519C35D2">
            <w:pPr>
              <w:spacing w:after="0" w:line="240" w:lineRule="auto"/>
              <w:jc w:val="right"/>
              <w:rPr>
                <w:rFonts w:eastAsia="Times New Roman" w:cs="Times New Roman"/>
                <w:color w:val="000000"/>
                <w:sz w:val="24"/>
                <w:szCs w:val="24"/>
              </w:rPr>
            </w:pPr>
            <w:r w:rsidRPr="00F92848">
              <w:rPr>
                <w:color w:val="000000"/>
                <w:sz w:val="24"/>
                <w:szCs w:val="24"/>
              </w:rPr>
              <w:t>0.59945</w:t>
            </w:r>
          </w:p>
        </w:tc>
        <w:tc>
          <w:tcPr>
            <w:tcW w:w="592" w:type="pct"/>
            <w:tcBorders>
              <w:top w:val="nil"/>
              <w:left w:val="nil"/>
              <w:bottom w:val="nil"/>
              <w:right w:val="nil"/>
            </w:tcBorders>
            <w:shd w:val="clear" w:color="auto" w:fill="auto"/>
            <w:noWrap/>
            <w:vAlign w:val="bottom"/>
            <w:hideMark/>
          </w:tcPr>
          <w:p w:rsidRPr="00F92848" w:rsidR="003C42E4" w:rsidP="003C42E4" w:rsidRDefault="003C42E4" w14:paraId="34AC2D28" w14:textId="7ED0B9A9">
            <w:pPr>
              <w:spacing w:after="0" w:line="240" w:lineRule="auto"/>
              <w:jc w:val="right"/>
              <w:rPr>
                <w:rFonts w:eastAsia="Times New Roman" w:cs="Times New Roman"/>
                <w:color w:val="000000"/>
                <w:sz w:val="24"/>
                <w:szCs w:val="24"/>
              </w:rPr>
            </w:pPr>
            <w:r w:rsidRPr="00F92848">
              <w:rPr>
                <w:color w:val="000000"/>
                <w:sz w:val="24"/>
                <w:szCs w:val="24"/>
              </w:rPr>
              <w:t>4.6694</w:t>
            </w:r>
          </w:p>
        </w:tc>
        <w:tc>
          <w:tcPr>
            <w:tcW w:w="592" w:type="pct"/>
            <w:tcBorders>
              <w:top w:val="nil"/>
              <w:left w:val="nil"/>
              <w:bottom w:val="nil"/>
              <w:right w:val="nil"/>
            </w:tcBorders>
            <w:shd w:val="clear" w:color="auto" w:fill="auto"/>
            <w:noWrap/>
            <w:vAlign w:val="bottom"/>
            <w:hideMark/>
          </w:tcPr>
          <w:p w:rsidRPr="00F92848" w:rsidR="003C42E4" w:rsidP="003C42E4" w:rsidRDefault="003C42E4" w14:paraId="4C4D3651" w14:textId="56B34B8A">
            <w:pPr>
              <w:spacing w:after="0" w:line="240" w:lineRule="auto"/>
              <w:jc w:val="right"/>
              <w:rPr>
                <w:rFonts w:eastAsia="Times New Roman" w:cs="Times New Roman"/>
                <w:color w:val="000000"/>
                <w:sz w:val="24"/>
                <w:szCs w:val="24"/>
              </w:rPr>
            </w:pPr>
            <w:r w:rsidRPr="00F92848">
              <w:rPr>
                <w:color w:val="000000"/>
                <w:sz w:val="24"/>
                <w:szCs w:val="24"/>
              </w:rPr>
              <w:t>0.45979</w:t>
            </w:r>
          </w:p>
        </w:tc>
        <w:tc>
          <w:tcPr>
            <w:tcW w:w="368" w:type="pct"/>
            <w:tcBorders>
              <w:top w:val="nil"/>
              <w:left w:val="nil"/>
              <w:bottom w:val="nil"/>
              <w:right w:val="nil"/>
            </w:tcBorders>
            <w:shd w:val="clear" w:color="auto" w:fill="auto"/>
            <w:noWrap/>
            <w:vAlign w:val="bottom"/>
            <w:hideMark/>
          </w:tcPr>
          <w:p w:rsidRPr="00F92848" w:rsidR="003C42E4" w:rsidP="003C42E4" w:rsidRDefault="003C42E4" w14:paraId="492992A6" w14:textId="57FC1FB4">
            <w:pPr>
              <w:spacing w:after="0" w:line="240" w:lineRule="auto"/>
              <w:jc w:val="right"/>
              <w:rPr>
                <w:rFonts w:eastAsia="Times New Roman" w:cs="Times New Roman"/>
                <w:color w:val="000000"/>
                <w:sz w:val="24"/>
                <w:szCs w:val="24"/>
              </w:rPr>
            </w:pPr>
            <w:r w:rsidRPr="00F92848">
              <w:rPr>
                <w:color w:val="000000"/>
                <w:sz w:val="24"/>
                <w:szCs w:val="24"/>
              </w:rPr>
              <w:t>96</w:t>
            </w:r>
          </w:p>
        </w:tc>
      </w:tr>
      <w:tr w:rsidRPr="00F92848" w:rsidR="003C42E4" w:rsidTr="00482557" w14:paraId="51254F2E" w14:textId="77777777">
        <w:trPr>
          <w:trHeight w:val="288"/>
        </w:trPr>
        <w:tc>
          <w:tcPr>
            <w:tcW w:w="2264" w:type="pct"/>
            <w:tcBorders>
              <w:top w:val="nil"/>
              <w:left w:val="nil"/>
              <w:bottom w:val="nil"/>
              <w:right w:val="nil"/>
            </w:tcBorders>
            <w:shd w:val="clear" w:color="auto" w:fill="auto"/>
            <w:noWrap/>
            <w:vAlign w:val="bottom"/>
            <w:hideMark/>
          </w:tcPr>
          <w:p w:rsidRPr="00F92848" w:rsidR="003C42E4" w:rsidP="003C42E4" w:rsidRDefault="003C42E4" w14:paraId="213B17D7" w14:textId="77777777">
            <w:pPr>
              <w:spacing w:after="0" w:line="240" w:lineRule="auto"/>
              <w:rPr>
                <w:rFonts w:eastAsia="Times New Roman" w:cs="Times New Roman"/>
                <w:color w:val="000000"/>
                <w:sz w:val="24"/>
                <w:szCs w:val="24"/>
              </w:rPr>
            </w:pPr>
            <w:r w:rsidRPr="00F92848">
              <w:rPr>
                <w:rFonts w:eastAsia="Times New Roman" w:cs="Times New Roman"/>
                <w:color w:val="000000"/>
                <w:sz w:val="24"/>
                <w:szCs w:val="24"/>
              </w:rPr>
              <w:t>Health Sciences</w:t>
            </w:r>
          </w:p>
        </w:tc>
        <w:tc>
          <w:tcPr>
            <w:tcW w:w="592" w:type="pct"/>
            <w:tcBorders>
              <w:top w:val="nil"/>
              <w:left w:val="nil"/>
              <w:bottom w:val="nil"/>
              <w:right w:val="nil"/>
            </w:tcBorders>
            <w:shd w:val="clear" w:color="auto" w:fill="auto"/>
            <w:noWrap/>
            <w:vAlign w:val="bottom"/>
            <w:hideMark/>
          </w:tcPr>
          <w:p w:rsidRPr="00F92848" w:rsidR="003C42E4" w:rsidP="003C42E4" w:rsidRDefault="003C42E4" w14:paraId="730E5C9B" w14:textId="3CB37037">
            <w:pPr>
              <w:spacing w:after="0" w:line="240" w:lineRule="auto"/>
              <w:jc w:val="right"/>
              <w:rPr>
                <w:rFonts w:eastAsia="Times New Roman" w:cs="Times New Roman"/>
                <w:color w:val="000000"/>
                <w:sz w:val="24"/>
                <w:szCs w:val="24"/>
              </w:rPr>
            </w:pPr>
            <w:r w:rsidRPr="00F92848">
              <w:rPr>
                <w:color w:val="000000"/>
                <w:sz w:val="24"/>
                <w:szCs w:val="24"/>
              </w:rPr>
              <w:t>4.3486</w:t>
            </w:r>
          </w:p>
        </w:tc>
        <w:tc>
          <w:tcPr>
            <w:tcW w:w="592" w:type="pct"/>
            <w:tcBorders>
              <w:top w:val="nil"/>
              <w:left w:val="nil"/>
              <w:bottom w:val="nil"/>
              <w:right w:val="nil"/>
            </w:tcBorders>
            <w:shd w:val="clear" w:color="auto" w:fill="auto"/>
            <w:noWrap/>
            <w:vAlign w:val="bottom"/>
            <w:hideMark/>
          </w:tcPr>
          <w:p w:rsidRPr="00F92848" w:rsidR="003C42E4" w:rsidP="003C42E4" w:rsidRDefault="003C42E4" w14:paraId="0903ADC8" w14:textId="45B01683">
            <w:pPr>
              <w:spacing w:after="0" w:line="240" w:lineRule="auto"/>
              <w:jc w:val="right"/>
              <w:rPr>
                <w:rFonts w:eastAsia="Times New Roman" w:cs="Times New Roman"/>
                <w:color w:val="000000"/>
                <w:sz w:val="24"/>
                <w:szCs w:val="24"/>
              </w:rPr>
            </w:pPr>
            <w:r w:rsidRPr="00F92848">
              <w:rPr>
                <w:color w:val="000000"/>
                <w:sz w:val="24"/>
                <w:szCs w:val="24"/>
              </w:rPr>
              <w:t>0.50405</w:t>
            </w:r>
          </w:p>
        </w:tc>
        <w:tc>
          <w:tcPr>
            <w:tcW w:w="592" w:type="pct"/>
            <w:tcBorders>
              <w:top w:val="nil"/>
              <w:left w:val="nil"/>
              <w:bottom w:val="nil"/>
              <w:right w:val="nil"/>
            </w:tcBorders>
            <w:shd w:val="clear" w:color="auto" w:fill="auto"/>
            <w:noWrap/>
            <w:vAlign w:val="bottom"/>
            <w:hideMark/>
          </w:tcPr>
          <w:p w:rsidRPr="00F92848" w:rsidR="003C42E4" w:rsidP="003C42E4" w:rsidRDefault="003C42E4" w14:paraId="6D2E94B7" w14:textId="6B437044">
            <w:pPr>
              <w:spacing w:after="0" w:line="240" w:lineRule="auto"/>
              <w:jc w:val="right"/>
              <w:rPr>
                <w:rFonts w:eastAsia="Times New Roman" w:cs="Times New Roman"/>
                <w:color w:val="000000"/>
                <w:sz w:val="24"/>
                <w:szCs w:val="24"/>
              </w:rPr>
            </w:pPr>
            <w:r w:rsidRPr="00F92848">
              <w:rPr>
                <w:color w:val="000000"/>
                <w:sz w:val="24"/>
                <w:szCs w:val="24"/>
              </w:rPr>
              <w:t>4.3207</w:t>
            </w:r>
          </w:p>
        </w:tc>
        <w:tc>
          <w:tcPr>
            <w:tcW w:w="592" w:type="pct"/>
            <w:tcBorders>
              <w:top w:val="nil"/>
              <w:left w:val="nil"/>
              <w:bottom w:val="nil"/>
              <w:right w:val="nil"/>
            </w:tcBorders>
            <w:shd w:val="clear" w:color="auto" w:fill="auto"/>
            <w:noWrap/>
            <w:vAlign w:val="bottom"/>
            <w:hideMark/>
          </w:tcPr>
          <w:p w:rsidRPr="00F92848" w:rsidR="003C42E4" w:rsidP="003C42E4" w:rsidRDefault="003C42E4" w14:paraId="2F0C2020" w14:textId="73D8079D">
            <w:pPr>
              <w:spacing w:after="0" w:line="240" w:lineRule="auto"/>
              <w:jc w:val="right"/>
              <w:rPr>
                <w:rFonts w:eastAsia="Times New Roman" w:cs="Times New Roman"/>
                <w:color w:val="000000"/>
                <w:sz w:val="24"/>
                <w:szCs w:val="24"/>
              </w:rPr>
            </w:pPr>
            <w:r w:rsidRPr="00F92848">
              <w:rPr>
                <w:color w:val="000000"/>
                <w:sz w:val="24"/>
                <w:szCs w:val="24"/>
              </w:rPr>
              <w:t>0.57008</w:t>
            </w:r>
          </w:p>
        </w:tc>
        <w:tc>
          <w:tcPr>
            <w:tcW w:w="368" w:type="pct"/>
            <w:tcBorders>
              <w:top w:val="nil"/>
              <w:left w:val="nil"/>
              <w:bottom w:val="nil"/>
              <w:right w:val="nil"/>
            </w:tcBorders>
            <w:shd w:val="clear" w:color="auto" w:fill="auto"/>
            <w:noWrap/>
            <w:vAlign w:val="bottom"/>
            <w:hideMark/>
          </w:tcPr>
          <w:p w:rsidRPr="00F92848" w:rsidR="003C42E4" w:rsidP="003C42E4" w:rsidRDefault="003C42E4" w14:paraId="7F3937F9" w14:textId="0CE8AE99">
            <w:pPr>
              <w:spacing w:after="0" w:line="240" w:lineRule="auto"/>
              <w:jc w:val="right"/>
              <w:rPr>
                <w:rFonts w:eastAsia="Times New Roman" w:cs="Times New Roman"/>
                <w:color w:val="000000"/>
                <w:sz w:val="24"/>
                <w:szCs w:val="24"/>
              </w:rPr>
            </w:pPr>
            <w:r w:rsidRPr="00F92848">
              <w:rPr>
                <w:color w:val="000000"/>
                <w:sz w:val="24"/>
                <w:szCs w:val="24"/>
              </w:rPr>
              <w:t>77</w:t>
            </w:r>
          </w:p>
        </w:tc>
      </w:tr>
      <w:tr w:rsidRPr="00F92848" w:rsidR="003C42E4" w:rsidTr="00482557" w14:paraId="27E2C8F7" w14:textId="77777777">
        <w:trPr>
          <w:trHeight w:val="288"/>
        </w:trPr>
        <w:tc>
          <w:tcPr>
            <w:tcW w:w="2264" w:type="pct"/>
            <w:tcBorders>
              <w:top w:val="nil"/>
              <w:left w:val="nil"/>
              <w:right w:val="nil"/>
            </w:tcBorders>
            <w:shd w:val="clear" w:color="auto" w:fill="auto"/>
            <w:noWrap/>
            <w:vAlign w:val="bottom"/>
            <w:hideMark/>
          </w:tcPr>
          <w:p w:rsidRPr="00F92848" w:rsidR="003C42E4" w:rsidP="003C42E4" w:rsidRDefault="003C42E4" w14:paraId="1F5B7E24" w14:textId="77777777">
            <w:pPr>
              <w:spacing w:after="0" w:line="240" w:lineRule="auto"/>
              <w:rPr>
                <w:rFonts w:eastAsia="Times New Roman" w:cs="Times New Roman"/>
                <w:color w:val="000000"/>
                <w:sz w:val="24"/>
                <w:szCs w:val="24"/>
              </w:rPr>
            </w:pPr>
            <w:r w:rsidRPr="00F92848">
              <w:rPr>
                <w:rFonts w:eastAsia="Times New Roman" w:cs="Times New Roman"/>
                <w:color w:val="000000"/>
                <w:sz w:val="24"/>
                <w:szCs w:val="24"/>
              </w:rPr>
              <w:t>Humanities and Social Sciences</w:t>
            </w:r>
          </w:p>
        </w:tc>
        <w:tc>
          <w:tcPr>
            <w:tcW w:w="592" w:type="pct"/>
            <w:tcBorders>
              <w:top w:val="nil"/>
              <w:left w:val="nil"/>
              <w:right w:val="nil"/>
            </w:tcBorders>
            <w:shd w:val="clear" w:color="auto" w:fill="auto"/>
            <w:noWrap/>
            <w:vAlign w:val="bottom"/>
            <w:hideMark/>
          </w:tcPr>
          <w:p w:rsidRPr="00F92848" w:rsidR="003C42E4" w:rsidP="003C42E4" w:rsidRDefault="003C42E4" w14:paraId="1402EA2C" w14:textId="00DEABAA">
            <w:pPr>
              <w:spacing w:after="0" w:line="240" w:lineRule="auto"/>
              <w:jc w:val="right"/>
              <w:rPr>
                <w:rFonts w:eastAsia="Times New Roman" w:cs="Times New Roman"/>
                <w:color w:val="000000"/>
                <w:sz w:val="24"/>
                <w:szCs w:val="24"/>
              </w:rPr>
            </w:pPr>
            <w:r w:rsidRPr="00F92848">
              <w:rPr>
                <w:color w:val="000000"/>
                <w:sz w:val="24"/>
                <w:szCs w:val="24"/>
              </w:rPr>
              <w:t>4.3648</w:t>
            </w:r>
          </w:p>
        </w:tc>
        <w:tc>
          <w:tcPr>
            <w:tcW w:w="592" w:type="pct"/>
            <w:tcBorders>
              <w:top w:val="nil"/>
              <w:left w:val="nil"/>
              <w:right w:val="nil"/>
            </w:tcBorders>
            <w:shd w:val="clear" w:color="auto" w:fill="auto"/>
            <w:noWrap/>
            <w:vAlign w:val="bottom"/>
            <w:hideMark/>
          </w:tcPr>
          <w:p w:rsidRPr="00F92848" w:rsidR="003C42E4" w:rsidP="003C42E4" w:rsidRDefault="003C42E4" w14:paraId="4EDE4B36" w14:textId="4ADAC9CA">
            <w:pPr>
              <w:spacing w:after="0" w:line="240" w:lineRule="auto"/>
              <w:jc w:val="right"/>
              <w:rPr>
                <w:rFonts w:eastAsia="Times New Roman" w:cs="Times New Roman"/>
                <w:color w:val="000000"/>
                <w:sz w:val="24"/>
                <w:szCs w:val="24"/>
              </w:rPr>
            </w:pPr>
            <w:r w:rsidRPr="00F92848">
              <w:rPr>
                <w:color w:val="000000"/>
                <w:sz w:val="24"/>
                <w:szCs w:val="24"/>
              </w:rPr>
              <w:t>0.61195</w:t>
            </w:r>
          </w:p>
        </w:tc>
        <w:tc>
          <w:tcPr>
            <w:tcW w:w="592" w:type="pct"/>
            <w:tcBorders>
              <w:top w:val="nil"/>
              <w:left w:val="nil"/>
              <w:right w:val="nil"/>
            </w:tcBorders>
            <w:shd w:val="clear" w:color="auto" w:fill="auto"/>
            <w:noWrap/>
            <w:vAlign w:val="bottom"/>
            <w:hideMark/>
          </w:tcPr>
          <w:p w:rsidRPr="00F92848" w:rsidR="003C42E4" w:rsidP="003C42E4" w:rsidRDefault="003C42E4" w14:paraId="40F83D6B" w14:textId="22EB375D">
            <w:pPr>
              <w:spacing w:after="0" w:line="240" w:lineRule="auto"/>
              <w:jc w:val="right"/>
              <w:rPr>
                <w:rFonts w:eastAsia="Times New Roman" w:cs="Times New Roman"/>
                <w:color w:val="000000"/>
                <w:sz w:val="24"/>
                <w:szCs w:val="24"/>
              </w:rPr>
            </w:pPr>
            <w:r w:rsidRPr="00F92848">
              <w:rPr>
                <w:color w:val="000000"/>
                <w:sz w:val="24"/>
                <w:szCs w:val="24"/>
              </w:rPr>
              <w:t>4.3599</w:t>
            </w:r>
          </w:p>
        </w:tc>
        <w:tc>
          <w:tcPr>
            <w:tcW w:w="592" w:type="pct"/>
            <w:tcBorders>
              <w:top w:val="nil"/>
              <w:left w:val="nil"/>
              <w:right w:val="nil"/>
            </w:tcBorders>
            <w:shd w:val="clear" w:color="auto" w:fill="auto"/>
            <w:noWrap/>
            <w:vAlign w:val="bottom"/>
            <w:hideMark/>
          </w:tcPr>
          <w:p w:rsidRPr="00F92848" w:rsidR="003C42E4" w:rsidP="003C42E4" w:rsidRDefault="003C42E4" w14:paraId="0E5913CE" w14:textId="07C88DC5">
            <w:pPr>
              <w:spacing w:after="0" w:line="240" w:lineRule="auto"/>
              <w:jc w:val="right"/>
              <w:rPr>
                <w:rFonts w:eastAsia="Times New Roman" w:cs="Times New Roman"/>
                <w:color w:val="000000"/>
                <w:sz w:val="24"/>
                <w:szCs w:val="24"/>
              </w:rPr>
            </w:pPr>
            <w:r w:rsidRPr="00F92848">
              <w:rPr>
                <w:color w:val="000000"/>
                <w:sz w:val="24"/>
                <w:szCs w:val="24"/>
              </w:rPr>
              <w:t>0.63749</w:t>
            </w:r>
          </w:p>
        </w:tc>
        <w:tc>
          <w:tcPr>
            <w:tcW w:w="368" w:type="pct"/>
            <w:tcBorders>
              <w:top w:val="nil"/>
              <w:left w:val="nil"/>
              <w:right w:val="nil"/>
            </w:tcBorders>
            <w:shd w:val="clear" w:color="auto" w:fill="auto"/>
            <w:noWrap/>
            <w:vAlign w:val="bottom"/>
            <w:hideMark/>
          </w:tcPr>
          <w:p w:rsidRPr="00F92848" w:rsidR="003C42E4" w:rsidP="003C42E4" w:rsidRDefault="003C42E4" w14:paraId="0A5988D3" w14:textId="1B0F3CD4">
            <w:pPr>
              <w:spacing w:after="0" w:line="240" w:lineRule="auto"/>
              <w:jc w:val="right"/>
              <w:rPr>
                <w:rFonts w:eastAsia="Times New Roman" w:cs="Times New Roman"/>
                <w:color w:val="000000"/>
                <w:sz w:val="24"/>
                <w:szCs w:val="24"/>
              </w:rPr>
            </w:pPr>
            <w:r w:rsidRPr="00F92848">
              <w:rPr>
                <w:color w:val="000000"/>
                <w:sz w:val="24"/>
                <w:szCs w:val="24"/>
              </w:rPr>
              <w:t>327</w:t>
            </w:r>
          </w:p>
        </w:tc>
      </w:tr>
      <w:tr w:rsidRPr="00F92848" w:rsidR="003C42E4" w:rsidTr="00482557" w14:paraId="7E995FE2" w14:textId="77777777">
        <w:trPr>
          <w:trHeight w:val="288"/>
        </w:trPr>
        <w:tc>
          <w:tcPr>
            <w:tcW w:w="2264" w:type="pct"/>
            <w:tcBorders>
              <w:top w:val="nil"/>
              <w:left w:val="nil"/>
              <w:bottom w:val="single" w:color="auto" w:sz="4" w:space="0"/>
              <w:right w:val="nil"/>
            </w:tcBorders>
            <w:shd w:val="clear" w:color="auto" w:fill="auto"/>
            <w:noWrap/>
            <w:vAlign w:val="bottom"/>
            <w:hideMark/>
          </w:tcPr>
          <w:p w:rsidRPr="00F92848" w:rsidR="003C42E4" w:rsidP="003C42E4" w:rsidRDefault="003C42E4" w14:paraId="42447C0E" w14:textId="77777777">
            <w:pPr>
              <w:spacing w:after="0" w:line="240" w:lineRule="auto"/>
              <w:rPr>
                <w:rFonts w:eastAsia="Times New Roman" w:cs="Times New Roman"/>
                <w:color w:val="000000"/>
                <w:sz w:val="24"/>
                <w:szCs w:val="24"/>
              </w:rPr>
            </w:pPr>
            <w:r w:rsidRPr="00F92848">
              <w:rPr>
                <w:rFonts w:eastAsia="Times New Roman" w:cs="Times New Roman"/>
                <w:color w:val="000000"/>
                <w:sz w:val="24"/>
                <w:szCs w:val="24"/>
              </w:rPr>
              <w:t>Science and Engineering Technology</w:t>
            </w:r>
          </w:p>
        </w:tc>
        <w:tc>
          <w:tcPr>
            <w:tcW w:w="592" w:type="pct"/>
            <w:tcBorders>
              <w:top w:val="nil"/>
              <w:left w:val="nil"/>
              <w:bottom w:val="single" w:color="auto" w:sz="4" w:space="0"/>
              <w:right w:val="nil"/>
            </w:tcBorders>
            <w:shd w:val="clear" w:color="auto" w:fill="auto"/>
            <w:noWrap/>
            <w:vAlign w:val="bottom"/>
            <w:hideMark/>
          </w:tcPr>
          <w:p w:rsidRPr="00F92848" w:rsidR="003C42E4" w:rsidP="003C42E4" w:rsidRDefault="003C42E4" w14:paraId="5857F422" w14:textId="597E433C">
            <w:pPr>
              <w:spacing w:after="0" w:line="240" w:lineRule="auto"/>
              <w:jc w:val="right"/>
              <w:rPr>
                <w:rFonts w:eastAsia="Times New Roman" w:cs="Times New Roman"/>
                <w:color w:val="000000"/>
                <w:sz w:val="24"/>
                <w:szCs w:val="24"/>
              </w:rPr>
            </w:pPr>
            <w:r w:rsidRPr="00F92848">
              <w:rPr>
                <w:color w:val="000000"/>
                <w:sz w:val="24"/>
                <w:szCs w:val="24"/>
              </w:rPr>
              <w:t>4.0154</w:t>
            </w:r>
          </w:p>
        </w:tc>
        <w:tc>
          <w:tcPr>
            <w:tcW w:w="592" w:type="pct"/>
            <w:tcBorders>
              <w:top w:val="nil"/>
              <w:left w:val="nil"/>
              <w:bottom w:val="single" w:color="auto" w:sz="4" w:space="0"/>
              <w:right w:val="nil"/>
            </w:tcBorders>
            <w:shd w:val="clear" w:color="auto" w:fill="auto"/>
            <w:noWrap/>
            <w:vAlign w:val="bottom"/>
            <w:hideMark/>
          </w:tcPr>
          <w:p w:rsidRPr="00F92848" w:rsidR="003C42E4" w:rsidP="003C42E4" w:rsidRDefault="003C42E4" w14:paraId="413DAE65" w14:textId="2813BAD6">
            <w:pPr>
              <w:spacing w:after="0" w:line="240" w:lineRule="auto"/>
              <w:jc w:val="right"/>
              <w:rPr>
                <w:rFonts w:eastAsia="Times New Roman" w:cs="Times New Roman"/>
                <w:color w:val="000000"/>
                <w:sz w:val="24"/>
                <w:szCs w:val="24"/>
              </w:rPr>
            </w:pPr>
            <w:r w:rsidRPr="00F92848">
              <w:rPr>
                <w:color w:val="000000"/>
                <w:sz w:val="24"/>
                <w:szCs w:val="24"/>
              </w:rPr>
              <w:t>0.84488</w:t>
            </w:r>
          </w:p>
        </w:tc>
        <w:tc>
          <w:tcPr>
            <w:tcW w:w="592" w:type="pct"/>
            <w:tcBorders>
              <w:top w:val="nil"/>
              <w:left w:val="nil"/>
              <w:bottom w:val="single" w:color="auto" w:sz="4" w:space="0"/>
              <w:right w:val="nil"/>
            </w:tcBorders>
            <w:shd w:val="clear" w:color="auto" w:fill="auto"/>
            <w:noWrap/>
            <w:vAlign w:val="bottom"/>
            <w:hideMark/>
          </w:tcPr>
          <w:p w:rsidRPr="00F92848" w:rsidR="003C42E4" w:rsidP="003C42E4" w:rsidRDefault="003C42E4" w14:paraId="76581DB3" w14:textId="72BE1374">
            <w:pPr>
              <w:spacing w:after="0" w:line="240" w:lineRule="auto"/>
              <w:jc w:val="right"/>
              <w:rPr>
                <w:rFonts w:eastAsia="Times New Roman" w:cs="Times New Roman"/>
                <w:color w:val="000000"/>
                <w:sz w:val="24"/>
                <w:szCs w:val="24"/>
              </w:rPr>
            </w:pPr>
            <w:r w:rsidRPr="00F92848">
              <w:rPr>
                <w:color w:val="000000"/>
                <w:sz w:val="24"/>
                <w:szCs w:val="24"/>
              </w:rPr>
              <w:t>4.4323</w:t>
            </w:r>
          </w:p>
        </w:tc>
        <w:tc>
          <w:tcPr>
            <w:tcW w:w="592" w:type="pct"/>
            <w:tcBorders>
              <w:top w:val="nil"/>
              <w:left w:val="nil"/>
              <w:bottom w:val="single" w:color="auto" w:sz="4" w:space="0"/>
              <w:right w:val="nil"/>
            </w:tcBorders>
            <w:shd w:val="clear" w:color="auto" w:fill="auto"/>
            <w:noWrap/>
            <w:vAlign w:val="bottom"/>
            <w:hideMark/>
          </w:tcPr>
          <w:p w:rsidRPr="00F92848" w:rsidR="003C42E4" w:rsidP="003C42E4" w:rsidRDefault="003C42E4" w14:paraId="2D784108" w14:textId="0F1ED04A">
            <w:pPr>
              <w:spacing w:after="0" w:line="240" w:lineRule="auto"/>
              <w:jc w:val="right"/>
              <w:rPr>
                <w:rFonts w:eastAsia="Times New Roman" w:cs="Times New Roman"/>
                <w:color w:val="000000"/>
                <w:sz w:val="24"/>
                <w:szCs w:val="24"/>
              </w:rPr>
            </w:pPr>
            <w:r w:rsidRPr="00F92848">
              <w:rPr>
                <w:color w:val="000000"/>
                <w:sz w:val="24"/>
                <w:szCs w:val="24"/>
              </w:rPr>
              <w:t>0.50918</w:t>
            </w:r>
          </w:p>
        </w:tc>
        <w:tc>
          <w:tcPr>
            <w:tcW w:w="368" w:type="pct"/>
            <w:tcBorders>
              <w:top w:val="nil"/>
              <w:left w:val="nil"/>
              <w:bottom w:val="single" w:color="auto" w:sz="4" w:space="0"/>
              <w:right w:val="nil"/>
            </w:tcBorders>
            <w:shd w:val="clear" w:color="auto" w:fill="auto"/>
            <w:noWrap/>
            <w:vAlign w:val="bottom"/>
            <w:hideMark/>
          </w:tcPr>
          <w:p w:rsidRPr="00F92848" w:rsidR="003C42E4" w:rsidP="003C42E4" w:rsidRDefault="003C42E4" w14:paraId="7963A40C" w14:textId="4A2BB0B5">
            <w:pPr>
              <w:spacing w:after="0" w:line="240" w:lineRule="auto"/>
              <w:jc w:val="right"/>
              <w:rPr>
                <w:rFonts w:eastAsia="Times New Roman" w:cs="Times New Roman"/>
                <w:color w:val="000000"/>
                <w:sz w:val="24"/>
                <w:szCs w:val="24"/>
              </w:rPr>
            </w:pPr>
            <w:r w:rsidRPr="00F92848">
              <w:rPr>
                <w:color w:val="000000"/>
                <w:sz w:val="24"/>
                <w:szCs w:val="24"/>
              </w:rPr>
              <w:t>317</w:t>
            </w:r>
          </w:p>
        </w:tc>
      </w:tr>
    </w:tbl>
    <w:p w:rsidR="00394CD7" w:rsidP="00DC61E5" w:rsidRDefault="00394CD7" w14:paraId="1E63F068" w14:textId="77777777">
      <w:pPr>
        <w:spacing w:before="0" w:after="160" w:line="278" w:lineRule="auto"/>
        <w:rPr>
          <w:sz w:val="24"/>
          <w:szCs w:val="24"/>
        </w:rPr>
      </w:pPr>
    </w:p>
    <w:p w:rsidRPr="00DC61E5" w:rsidR="00DC61E5" w:rsidP="00DC61E5" w:rsidRDefault="00DC61E5" w14:paraId="0DEFB095" w14:textId="010E81AF">
      <w:pPr>
        <w:spacing w:before="0" w:after="160" w:line="278" w:lineRule="auto"/>
        <w:rPr>
          <w:sz w:val="24"/>
          <w:szCs w:val="24"/>
        </w:rPr>
      </w:pPr>
      <w:r w:rsidRPr="00DC61E5">
        <w:rPr>
          <w:sz w:val="24"/>
          <w:szCs w:val="24"/>
        </w:rPr>
        <w:t xml:space="preserve">A two-way MANOVA was conducted to examine the effects of </w:t>
      </w:r>
      <w:proofErr w:type="gramStart"/>
      <w:r w:rsidRPr="00DC61E5">
        <w:rPr>
          <w:sz w:val="24"/>
          <w:szCs w:val="24"/>
        </w:rPr>
        <w:t>College</w:t>
      </w:r>
      <w:proofErr w:type="gramEnd"/>
      <w:r w:rsidR="00ED1628">
        <w:rPr>
          <w:sz w:val="24"/>
          <w:szCs w:val="24"/>
        </w:rPr>
        <w:t xml:space="preserve"> </w:t>
      </w:r>
      <w:r w:rsidRPr="00DC61E5">
        <w:rPr>
          <w:sz w:val="24"/>
          <w:szCs w:val="24"/>
        </w:rPr>
        <w:t xml:space="preserve">(college affiliation), ACUE participation, and their interaction on the combined dependent variables. </w:t>
      </w:r>
    </w:p>
    <w:p w:rsidRPr="00DC61E5" w:rsidR="00DC61E5" w:rsidP="00DC61E5" w:rsidRDefault="00DC61E5" w14:paraId="3F55ED91" w14:textId="6548CD10">
      <w:pPr>
        <w:spacing w:before="0" w:after="160" w:line="278" w:lineRule="auto"/>
        <w:rPr>
          <w:sz w:val="24"/>
          <w:szCs w:val="24"/>
        </w:rPr>
      </w:pPr>
      <w:r w:rsidRPr="00DC61E5">
        <w:rPr>
          <w:sz w:val="24"/>
          <w:szCs w:val="24"/>
        </w:rPr>
        <w:t xml:space="preserve">The multivariate test using Wilks’ Lambda indicated a significant main effect of College, Wilks’ Λ = .855, </w:t>
      </w:r>
      <w:proofErr w:type="gramStart"/>
      <w:r w:rsidRPr="00DC61E5">
        <w:rPr>
          <w:sz w:val="24"/>
          <w:szCs w:val="24"/>
        </w:rPr>
        <w:t>F(</w:t>
      </w:r>
      <w:proofErr w:type="gramEnd"/>
      <w:r w:rsidRPr="00DC61E5">
        <w:rPr>
          <w:sz w:val="24"/>
          <w:szCs w:val="24"/>
        </w:rPr>
        <w:t>12, 4816) = 32.72, p &lt; .001, with a medium effect size (partial η² = .075). This suggests that the combined dependent variables differ significantly across colleges.</w:t>
      </w:r>
    </w:p>
    <w:p w:rsidRPr="00DC61E5" w:rsidR="00DC61E5" w:rsidP="00DC61E5" w:rsidRDefault="00DC61E5" w14:paraId="5E87984F" w14:textId="77777777">
      <w:pPr>
        <w:spacing w:before="0" w:after="160" w:line="278" w:lineRule="auto"/>
        <w:rPr>
          <w:sz w:val="24"/>
          <w:szCs w:val="24"/>
        </w:rPr>
      </w:pPr>
      <w:r w:rsidRPr="00DC61E5">
        <w:rPr>
          <w:sz w:val="24"/>
          <w:szCs w:val="24"/>
        </w:rPr>
        <w:t xml:space="preserve">There was also a significant main effect of ACUE participation, Wilks’ Λ = .990, </w:t>
      </w:r>
      <w:proofErr w:type="gramStart"/>
      <w:r w:rsidRPr="00DC61E5">
        <w:rPr>
          <w:sz w:val="24"/>
          <w:szCs w:val="24"/>
        </w:rPr>
        <w:t>F(</w:t>
      </w:r>
      <w:proofErr w:type="gramEnd"/>
      <w:r w:rsidRPr="00DC61E5">
        <w:rPr>
          <w:sz w:val="24"/>
          <w:szCs w:val="24"/>
        </w:rPr>
        <w:t>2, 2408) = 12.41, p &lt; .001, though the effect size was small (partial η² = .01), indicating a modest influence of ACUE on the combined outcomes.</w:t>
      </w:r>
    </w:p>
    <w:p w:rsidRPr="00DC61E5" w:rsidR="00DC61E5" w:rsidP="00DC61E5" w:rsidRDefault="00DC61E5" w14:paraId="12EAF73A" w14:textId="402796CA">
      <w:pPr>
        <w:spacing w:before="0" w:after="160" w:line="278" w:lineRule="auto"/>
        <w:rPr>
          <w:sz w:val="24"/>
          <w:szCs w:val="24"/>
        </w:rPr>
      </w:pPr>
      <w:r w:rsidRPr="00DC61E5">
        <w:rPr>
          <w:sz w:val="24"/>
          <w:szCs w:val="24"/>
        </w:rPr>
        <w:lastRenderedPageBreak/>
        <w:t xml:space="preserve">The interaction effect between College and ACUE was statistically significant, Wilks’ Λ = .979, </w:t>
      </w:r>
      <w:proofErr w:type="gramStart"/>
      <w:r w:rsidRPr="00DC61E5">
        <w:rPr>
          <w:sz w:val="24"/>
          <w:szCs w:val="24"/>
        </w:rPr>
        <w:t>F(</w:t>
      </w:r>
      <w:proofErr w:type="gramEnd"/>
      <w:r w:rsidRPr="00DC61E5">
        <w:rPr>
          <w:sz w:val="24"/>
          <w:szCs w:val="24"/>
        </w:rPr>
        <w:t>12, 4816) = 4.30, p &lt; .001, but with a very small effect size (partial η² = .011). While statistically significant, this suggests a weak interaction effect; however, further investigation is warranted to identify specific group differences driving this interaction.</w:t>
      </w:r>
    </w:p>
    <w:p w:rsidRPr="00DC61E5" w:rsidR="00DC61E5" w:rsidP="00DC61E5" w:rsidRDefault="00DC61E5" w14:paraId="0CB30CAA" w14:textId="19E361C0">
      <w:pPr>
        <w:spacing w:before="0" w:after="160" w:line="278" w:lineRule="auto"/>
        <w:rPr>
          <w:sz w:val="24"/>
          <w:szCs w:val="24"/>
        </w:rPr>
      </w:pPr>
      <w:r w:rsidRPr="00DC61E5">
        <w:rPr>
          <w:sz w:val="24"/>
          <w:szCs w:val="24"/>
        </w:rPr>
        <w:t xml:space="preserve">The tests of between-subjects effects were examined for the two dependent variables, </w:t>
      </w:r>
      <w:r w:rsidRPr="00DC61E5">
        <w:rPr>
          <w:i/>
          <w:iCs/>
          <w:sz w:val="24"/>
          <w:szCs w:val="24"/>
        </w:rPr>
        <w:t>DFQ</w:t>
      </w:r>
      <w:r w:rsidRPr="003C42E4">
        <w:rPr>
          <w:i/>
          <w:iCs/>
          <w:sz w:val="24"/>
          <w:szCs w:val="24"/>
        </w:rPr>
        <w:t xml:space="preserve"> </w:t>
      </w:r>
      <w:r w:rsidRPr="00DC61E5">
        <w:rPr>
          <w:i/>
          <w:iCs/>
          <w:sz w:val="24"/>
          <w:szCs w:val="24"/>
        </w:rPr>
        <w:t>Rate</w:t>
      </w:r>
      <w:r w:rsidRPr="00DC61E5">
        <w:rPr>
          <w:sz w:val="24"/>
          <w:szCs w:val="24"/>
        </w:rPr>
        <w:t xml:space="preserve"> and </w:t>
      </w:r>
      <w:r w:rsidRPr="003C42E4">
        <w:rPr>
          <w:i/>
          <w:iCs/>
          <w:sz w:val="24"/>
          <w:szCs w:val="24"/>
        </w:rPr>
        <w:t>Excellent Teacher</w:t>
      </w:r>
      <w:r w:rsidRPr="00DC61E5">
        <w:rPr>
          <w:sz w:val="24"/>
          <w:szCs w:val="24"/>
        </w:rPr>
        <w:t>, to assess the influence of college affiliation, ACUE participation, and their interaction.</w:t>
      </w:r>
    </w:p>
    <w:p w:rsidRPr="00DC61E5" w:rsidR="00DC61E5" w:rsidP="00DC61E5" w:rsidRDefault="00DC61E5" w14:paraId="4BF99A2B" w14:textId="3AF51896">
      <w:pPr>
        <w:spacing w:before="0" w:after="160" w:line="278" w:lineRule="auto"/>
        <w:rPr>
          <w:sz w:val="24"/>
          <w:szCs w:val="24"/>
        </w:rPr>
      </w:pPr>
      <w:r w:rsidRPr="00DC61E5">
        <w:rPr>
          <w:sz w:val="24"/>
          <w:szCs w:val="24"/>
        </w:rPr>
        <w:t xml:space="preserve">Results indicated a significant main effect of college on </w:t>
      </w:r>
      <w:r w:rsidRPr="00DC61E5">
        <w:rPr>
          <w:i/>
          <w:iCs/>
          <w:sz w:val="24"/>
          <w:szCs w:val="24"/>
        </w:rPr>
        <w:t>DFQ</w:t>
      </w:r>
      <w:r w:rsidRPr="003C42E4">
        <w:rPr>
          <w:i/>
          <w:iCs/>
          <w:sz w:val="24"/>
          <w:szCs w:val="24"/>
        </w:rPr>
        <w:t xml:space="preserve"> </w:t>
      </w:r>
      <w:r w:rsidRPr="00DC61E5">
        <w:rPr>
          <w:i/>
          <w:iCs/>
          <w:sz w:val="24"/>
          <w:szCs w:val="24"/>
        </w:rPr>
        <w:t>Rate</w:t>
      </w:r>
      <w:r w:rsidRPr="00DC61E5">
        <w:rPr>
          <w:sz w:val="24"/>
          <w:szCs w:val="24"/>
        </w:rPr>
        <w:t xml:space="preserve">, </w:t>
      </w:r>
      <w:proofErr w:type="gramStart"/>
      <w:r w:rsidRPr="00DC61E5">
        <w:rPr>
          <w:sz w:val="24"/>
          <w:szCs w:val="24"/>
        </w:rPr>
        <w:t>F(</w:t>
      </w:r>
      <w:proofErr w:type="gramEnd"/>
      <w:r w:rsidRPr="00DC61E5">
        <w:rPr>
          <w:sz w:val="24"/>
          <w:szCs w:val="24"/>
        </w:rPr>
        <w:t xml:space="preserve">6, 2409) = 64.56, p &lt; .001, with a large effect size (partial η² = .139). Similarly, college had a significant effect on </w:t>
      </w:r>
      <w:r w:rsidRPr="00DC61E5">
        <w:rPr>
          <w:i/>
          <w:iCs/>
          <w:sz w:val="24"/>
          <w:szCs w:val="24"/>
        </w:rPr>
        <w:t>Excellent</w:t>
      </w:r>
      <w:r w:rsidRPr="003C42E4">
        <w:rPr>
          <w:i/>
          <w:iCs/>
          <w:sz w:val="24"/>
          <w:szCs w:val="24"/>
        </w:rPr>
        <w:t xml:space="preserve"> </w:t>
      </w:r>
      <w:r w:rsidRPr="00DC61E5">
        <w:rPr>
          <w:i/>
          <w:iCs/>
          <w:sz w:val="24"/>
          <w:szCs w:val="24"/>
        </w:rPr>
        <w:t>Teacher</w:t>
      </w:r>
      <w:r w:rsidRPr="00DC61E5">
        <w:rPr>
          <w:sz w:val="24"/>
          <w:szCs w:val="24"/>
        </w:rPr>
        <w:t xml:space="preserve"> ratings, </w:t>
      </w:r>
      <w:proofErr w:type="gramStart"/>
      <w:r w:rsidRPr="00DC61E5">
        <w:rPr>
          <w:sz w:val="24"/>
          <w:szCs w:val="24"/>
        </w:rPr>
        <w:t>F(</w:t>
      </w:r>
      <w:proofErr w:type="gramEnd"/>
      <w:r w:rsidRPr="00DC61E5">
        <w:rPr>
          <w:sz w:val="24"/>
          <w:szCs w:val="24"/>
        </w:rPr>
        <w:t>6, 2409) = 13.21, p &lt; .001, though the effect size was smaller, falling in the small to moderate range (partial η² = .032). These findings suggest that students’ perceptions vary notably depending on their college.</w:t>
      </w:r>
    </w:p>
    <w:p w:rsidRPr="00DC61E5" w:rsidR="00DC61E5" w:rsidP="00DC61E5" w:rsidRDefault="00DC61E5" w14:paraId="419C4E3C" w14:textId="59DF9270">
      <w:pPr>
        <w:spacing w:before="0" w:after="160" w:line="278" w:lineRule="auto"/>
        <w:rPr>
          <w:sz w:val="24"/>
          <w:szCs w:val="24"/>
        </w:rPr>
      </w:pPr>
      <w:r w:rsidRPr="00DC61E5">
        <w:rPr>
          <w:sz w:val="24"/>
          <w:szCs w:val="24"/>
        </w:rPr>
        <w:t xml:space="preserve">Regarding ACUE participation, there was a statistically significant main effect on both dependent variables. For </w:t>
      </w:r>
      <w:r w:rsidRPr="00DC61E5">
        <w:rPr>
          <w:i/>
          <w:iCs/>
          <w:sz w:val="24"/>
          <w:szCs w:val="24"/>
        </w:rPr>
        <w:t>DFQ</w:t>
      </w:r>
      <w:r w:rsidRPr="003C42E4">
        <w:rPr>
          <w:i/>
          <w:iCs/>
          <w:sz w:val="24"/>
          <w:szCs w:val="24"/>
        </w:rPr>
        <w:t xml:space="preserve"> </w:t>
      </w:r>
      <w:r w:rsidRPr="00DC61E5">
        <w:rPr>
          <w:i/>
          <w:iCs/>
          <w:sz w:val="24"/>
          <w:szCs w:val="24"/>
        </w:rPr>
        <w:t>Rate</w:t>
      </w:r>
      <w:r w:rsidRPr="00DC61E5">
        <w:rPr>
          <w:sz w:val="24"/>
          <w:szCs w:val="24"/>
        </w:rPr>
        <w:t xml:space="preserve">, ACUE’s impact was significant but minimal, </w:t>
      </w:r>
      <w:proofErr w:type="gramStart"/>
      <w:r w:rsidRPr="00DC61E5">
        <w:rPr>
          <w:sz w:val="24"/>
          <w:szCs w:val="24"/>
        </w:rPr>
        <w:t>F(</w:t>
      </w:r>
      <w:proofErr w:type="gramEnd"/>
      <w:r w:rsidRPr="00DC61E5">
        <w:rPr>
          <w:sz w:val="24"/>
          <w:szCs w:val="24"/>
        </w:rPr>
        <w:t xml:space="preserve">1, 2409) = 7.97, p = .005, partial η² = .003. For </w:t>
      </w:r>
      <w:r w:rsidRPr="00DC61E5">
        <w:rPr>
          <w:i/>
          <w:iCs/>
          <w:sz w:val="24"/>
          <w:szCs w:val="24"/>
        </w:rPr>
        <w:t>Excellent</w:t>
      </w:r>
      <w:r w:rsidRPr="003C42E4">
        <w:rPr>
          <w:i/>
          <w:iCs/>
          <w:sz w:val="24"/>
          <w:szCs w:val="24"/>
        </w:rPr>
        <w:t xml:space="preserve"> </w:t>
      </w:r>
      <w:r w:rsidRPr="00DC61E5">
        <w:rPr>
          <w:i/>
          <w:iCs/>
          <w:sz w:val="24"/>
          <w:szCs w:val="24"/>
        </w:rPr>
        <w:t>Teacher</w:t>
      </w:r>
      <w:r w:rsidRPr="00DC61E5">
        <w:rPr>
          <w:sz w:val="24"/>
          <w:szCs w:val="24"/>
        </w:rPr>
        <w:t xml:space="preserve">, ACUE participation was also significant, </w:t>
      </w:r>
      <w:proofErr w:type="gramStart"/>
      <w:r w:rsidRPr="00DC61E5">
        <w:rPr>
          <w:sz w:val="24"/>
          <w:szCs w:val="24"/>
        </w:rPr>
        <w:t>F(</w:t>
      </w:r>
      <w:proofErr w:type="gramEnd"/>
      <w:r w:rsidRPr="00DC61E5">
        <w:rPr>
          <w:sz w:val="24"/>
          <w:szCs w:val="24"/>
        </w:rPr>
        <w:t>1, 2409) = 23.24, p &lt; .001, with a small effect size (partial η² = .010). This indicates that ACUE training modestly improves student ratings on both measures.</w:t>
      </w:r>
    </w:p>
    <w:p w:rsidRPr="00DC61E5" w:rsidR="00DC61E5" w:rsidP="00DC61E5" w:rsidRDefault="00DC61E5" w14:paraId="2472308F" w14:textId="779C3EF1">
      <w:pPr>
        <w:spacing w:before="0" w:after="160" w:line="278" w:lineRule="auto"/>
        <w:rPr>
          <w:sz w:val="24"/>
          <w:szCs w:val="24"/>
        </w:rPr>
      </w:pPr>
      <w:r w:rsidRPr="00DC61E5">
        <w:rPr>
          <w:sz w:val="24"/>
          <w:szCs w:val="24"/>
        </w:rPr>
        <w:t xml:space="preserve">The interaction between College and ACUE participation was statistically significant for both variables. For </w:t>
      </w:r>
      <w:r w:rsidRPr="00DC61E5">
        <w:rPr>
          <w:i/>
          <w:iCs/>
          <w:sz w:val="24"/>
          <w:szCs w:val="24"/>
        </w:rPr>
        <w:t>DFQ</w:t>
      </w:r>
      <w:r w:rsidRPr="003C42E4">
        <w:rPr>
          <w:i/>
          <w:iCs/>
          <w:sz w:val="24"/>
          <w:szCs w:val="24"/>
        </w:rPr>
        <w:t xml:space="preserve"> </w:t>
      </w:r>
      <w:r w:rsidRPr="00DC61E5">
        <w:rPr>
          <w:i/>
          <w:iCs/>
          <w:sz w:val="24"/>
          <w:szCs w:val="24"/>
        </w:rPr>
        <w:t>Rate</w:t>
      </w:r>
      <w:r w:rsidRPr="00DC61E5">
        <w:rPr>
          <w:sz w:val="24"/>
          <w:szCs w:val="24"/>
        </w:rPr>
        <w:t xml:space="preserve">, the interaction effect was small but significant, </w:t>
      </w:r>
      <w:proofErr w:type="gramStart"/>
      <w:r w:rsidRPr="00DC61E5">
        <w:rPr>
          <w:sz w:val="24"/>
          <w:szCs w:val="24"/>
        </w:rPr>
        <w:t>F(</w:t>
      </w:r>
      <w:proofErr w:type="gramEnd"/>
      <w:r w:rsidRPr="00DC61E5">
        <w:rPr>
          <w:sz w:val="24"/>
          <w:szCs w:val="24"/>
        </w:rPr>
        <w:t xml:space="preserve">6, 2409) = 2.37, p = .028, partial η² = .006. For </w:t>
      </w:r>
      <w:r w:rsidRPr="00DC61E5">
        <w:rPr>
          <w:i/>
          <w:iCs/>
          <w:sz w:val="24"/>
          <w:szCs w:val="24"/>
        </w:rPr>
        <w:t>Excellent</w:t>
      </w:r>
      <w:r w:rsidRPr="003C42E4">
        <w:rPr>
          <w:i/>
          <w:iCs/>
          <w:sz w:val="24"/>
          <w:szCs w:val="24"/>
        </w:rPr>
        <w:t xml:space="preserve"> </w:t>
      </w:r>
      <w:r w:rsidRPr="00DC61E5">
        <w:rPr>
          <w:i/>
          <w:iCs/>
          <w:sz w:val="24"/>
          <w:szCs w:val="24"/>
        </w:rPr>
        <w:t>Teacher</w:t>
      </w:r>
      <w:r w:rsidRPr="00DC61E5">
        <w:rPr>
          <w:sz w:val="24"/>
          <w:szCs w:val="24"/>
        </w:rPr>
        <w:t xml:space="preserve">, the interaction was stronger though still small, </w:t>
      </w:r>
      <w:proofErr w:type="gramStart"/>
      <w:r w:rsidRPr="00DC61E5">
        <w:rPr>
          <w:sz w:val="24"/>
          <w:szCs w:val="24"/>
        </w:rPr>
        <w:t>F(</w:t>
      </w:r>
      <w:proofErr w:type="gramEnd"/>
      <w:r w:rsidRPr="00DC61E5">
        <w:rPr>
          <w:sz w:val="24"/>
          <w:szCs w:val="24"/>
        </w:rPr>
        <w:t>6, 2409) = 7.56, p &lt; .001, partial η² = .018. These results imply that the effect of ACUE training varies by college, with some institutions experiencing greater benefits than others, especially regarding student perceptions of teaching excellence.</w:t>
      </w:r>
    </w:p>
    <w:p w:rsidRPr="00BF5661" w:rsidR="00996CF7" w:rsidP="003C42E4" w:rsidRDefault="00996CF7" w14:paraId="4BEBD354" w14:textId="7D440089">
      <w:pPr>
        <w:pStyle w:val="Heading2"/>
        <w:rPr>
          <w:sz w:val="32"/>
          <w:szCs w:val="32"/>
        </w:rPr>
      </w:pPr>
      <w:bookmarkStart w:name="_Toc200371348" w:id="8"/>
      <w:r w:rsidRPr="00BF5661">
        <w:rPr>
          <w:sz w:val="32"/>
          <w:szCs w:val="32"/>
        </w:rPr>
        <w:t>EE Impact</w:t>
      </w:r>
      <w:bookmarkEnd w:id="8"/>
    </w:p>
    <w:p w:rsidR="003078F3" w:rsidP="00BC5222" w:rsidRDefault="003078F3" w14:paraId="35AD1C58" w14:textId="77777777">
      <w:pPr>
        <w:pStyle w:val="NoSpacing"/>
        <w:rPr>
          <w:sz w:val="24"/>
          <w:szCs w:val="24"/>
        </w:rPr>
      </w:pPr>
    </w:p>
    <w:p w:rsidR="00F96806" w:rsidP="00BC5222" w:rsidRDefault="00F96806" w14:paraId="74AD5F7A" w14:textId="426E4932">
      <w:pPr>
        <w:pStyle w:val="NoSpacing"/>
        <w:rPr>
          <w:sz w:val="24"/>
          <w:szCs w:val="24"/>
        </w:rPr>
      </w:pPr>
      <w:r w:rsidRPr="00E2790E">
        <w:rPr>
          <w:rFonts w:cstheme="minorHAnsi"/>
          <w:sz w:val="24"/>
          <w:szCs w:val="24"/>
        </w:rPr>
        <w:t xml:space="preserve">Propensity score matching was used to match ACUE courses and other courses using faculty department, race, gender, course enrollment as covariates using a distance caliper of 0.05 (Table </w:t>
      </w:r>
      <w:r w:rsidR="00FF3E21">
        <w:rPr>
          <w:rFonts w:cstheme="minorHAnsi"/>
          <w:sz w:val="24"/>
          <w:szCs w:val="24"/>
        </w:rPr>
        <w:t>4</w:t>
      </w:r>
      <w:r w:rsidRPr="00E2790E">
        <w:rPr>
          <w:rFonts w:cstheme="minorHAnsi"/>
          <w:sz w:val="24"/>
          <w:szCs w:val="24"/>
        </w:rPr>
        <w:t>).</w:t>
      </w:r>
    </w:p>
    <w:p w:rsidRPr="00E2790E" w:rsidR="00677E53" w:rsidP="00677E53" w:rsidRDefault="00677E53" w14:paraId="7CFD5200" w14:textId="02593CE7">
      <w:pPr>
        <w:pStyle w:val="NoSpacing"/>
        <w:rPr>
          <w:sz w:val="24"/>
          <w:szCs w:val="24"/>
        </w:rPr>
      </w:pPr>
      <w:r w:rsidRPr="00E2790E">
        <w:rPr>
          <w:sz w:val="24"/>
          <w:szCs w:val="24"/>
        </w:rPr>
        <w:t xml:space="preserve">Table </w:t>
      </w:r>
      <w:r w:rsidR="00FF3E21">
        <w:rPr>
          <w:sz w:val="24"/>
          <w:szCs w:val="24"/>
        </w:rPr>
        <w:t>4</w:t>
      </w:r>
    </w:p>
    <w:p w:rsidRPr="00E2790E" w:rsidR="00677E53" w:rsidP="00677E53" w:rsidRDefault="00677E53" w14:paraId="1D3FC0EA" w14:textId="77777777">
      <w:pPr>
        <w:pStyle w:val="NoSpacing"/>
        <w:rPr>
          <w:i/>
          <w:iCs/>
          <w:sz w:val="24"/>
          <w:szCs w:val="24"/>
        </w:rPr>
      </w:pPr>
      <w:r w:rsidRPr="00E2790E">
        <w:rPr>
          <w:i/>
          <w:iCs/>
          <w:sz w:val="24"/>
          <w:szCs w:val="24"/>
        </w:rPr>
        <w:t>Summary of Balance</w:t>
      </w:r>
    </w:p>
    <w:tbl>
      <w:tblPr>
        <w:tblW w:w="0" w:type="auto"/>
        <w:tblBorders>
          <w:top w:val="single" w:color="auto" w:sz="4" w:space="0"/>
          <w:bottom w:val="single" w:color="auto" w:sz="4" w:space="0"/>
        </w:tblBorders>
        <w:tblLook w:val="04A0" w:firstRow="1" w:lastRow="0" w:firstColumn="1" w:lastColumn="0" w:noHBand="0" w:noVBand="1"/>
      </w:tblPr>
      <w:tblGrid>
        <w:gridCol w:w="2003"/>
        <w:gridCol w:w="749"/>
        <w:gridCol w:w="1153"/>
        <w:gridCol w:w="707"/>
        <w:gridCol w:w="749"/>
        <w:gridCol w:w="1153"/>
        <w:gridCol w:w="707"/>
      </w:tblGrid>
      <w:tr w:rsidRPr="005D58C9" w:rsidR="00A93788" w:rsidTr="003F180F" w14:paraId="7D0ECD5C" w14:textId="77777777">
        <w:trPr>
          <w:trHeight w:val="288"/>
        </w:trPr>
        <w:tc>
          <w:tcPr>
            <w:tcW w:w="0" w:type="auto"/>
            <w:tcBorders>
              <w:bottom w:val="nil"/>
            </w:tcBorders>
            <w:shd w:val="clear" w:color="auto" w:fill="auto"/>
            <w:noWrap/>
            <w:vAlign w:val="bottom"/>
            <w:hideMark/>
          </w:tcPr>
          <w:p w:rsidRPr="005D58C9" w:rsidR="00A93788" w:rsidP="00F17D97" w:rsidRDefault="00A93788" w14:paraId="31D88EAD" w14:textId="77777777">
            <w:pPr>
              <w:spacing w:before="0" w:after="0" w:line="240" w:lineRule="auto"/>
              <w:rPr>
                <w:rFonts w:eastAsia="Times New Roman" w:cs="Times New Roman"/>
                <w:sz w:val="22"/>
                <w:szCs w:val="22"/>
              </w:rPr>
            </w:pPr>
          </w:p>
        </w:tc>
        <w:tc>
          <w:tcPr>
            <w:tcW w:w="0" w:type="auto"/>
            <w:gridSpan w:val="3"/>
            <w:tcBorders>
              <w:top w:val="single" w:color="auto" w:sz="4" w:space="0"/>
              <w:bottom w:val="single" w:color="auto" w:sz="4" w:space="0"/>
            </w:tcBorders>
            <w:shd w:val="clear" w:color="auto" w:fill="auto"/>
            <w:noWrap/>
            <w:vAlign w:val="bottom"/>
            <w:hideMark/>
          </w:tcPr>
          <w:p w:rsidRPr="005D58C9" w:rsidR="00A93788" w:rsidP="00F17D97" w:rsidRDefault="00A93788" w14:paraId="2C905F5D" w14:textId="5BE1492C">
            <w:pPr>
              <w:spacing w:before="0" w:after="0" w:line="240" w:lineRule="auto"/>
              <w:rPr>
                <w:rFonts w:eastAsia="Times New Roman" w:cs="Times New Roman"/>
                <w:color w:val="000000"/>
                <w:sz w:val="22"/>
                <w:szCs w:val="22"/>
              </w:rPr>
            </w:pPr>
            <w:r w:rsidRPr="005D58C9">
              <w:rPr>
                <w:rFonts w:eastAsia="Times New Roman" w:cs="Times New Roman"/>
                <w:color w:val="000000"/>
                <w:sz w:val="22"/>
                <w:szCs w:val="22"/>
              </w:rPr>
              <w:t>Unmatched (</w:t>
            </w:r>
            <w:r w:rsidRPr="00A93788">
              <w:rPr>
                <w:rFonts w:eastAsia="Times New Roman" w:cs="Times New Roman"/>
                <w:i/>
                <w:iCs/>
                <w:color w:val="000000"/>
                <w:sz w:val="22"/>
                <w:szCs w:val="22"/>
              </w:rPr>
              <w:t>N</w:t>
            </w:r>
            <w:r>
              <w:rPr>
                <w:rFonts w:eastAsia="Times New Roman" w:cs="Times New Roman"/>
                <w:color w:val="000000"/>
                <w:sz w:val="22"/>
                <w:szCs w:val="22"/>
              </w:rPr>
              <w:t xml:space="preserve"> = </w:t>
            </w:r>
            <w:r w:rsidRPr="005D58C9">
              <w:rPr>
                <w:rFonts w:eastAsia="Times New Roman" w:cs="Times New Roman"/>
                <w:color w:val="000000"/>
                <w:sz w:val="22"/>
                <w:szCs w:val="22"/>
              </w:rPr>
              <w:t>11,896)</w:t>
            </w:r>
          </w:p>
        </w:tc>
        <w:tc>
          <w:tcPr>
            <w:tcW w:w="0" w:type="auto"/>
            <w:gridSpan w:val="3"/>
            <w:tcBorders>
              <w:top w:val="single" w:color="auto" w:sz="4" w:space="0"/>
              <w:bottom w:val="single" w:color="auto" w:sz="4" w:space="0"/>
            </w:tcBorders>
            <w:shd w:val="clear" w:color="auto" w:fill="auto"/>
            <w:noWrap/>
            <w:vAlign w:val="bottom"/>
            <w:hideMark/>
          </w:tcPr>
          <w:p w:rsidRPr="005D58C9" w:rsidR="00A93788" w:rsidP="00F17D97" w:rsidRDefault="00A93788" w14:paraId="02B53715" w14:textId="54A47772">
            <w:pPr>
              <w:spacing w:before="0" w:after="0" w:line="240" w:lineRule="auto"/>
              <w:rPr>
                <w:rFonts w:eastAsia="Times New Roman" w:cs="Times New Roman"/>
                <w:color w:val="000000"/>
                <w:sz w:val="22"/>
                <w:szCs w:val="22"/>
              </w:rPr>
            </w:pPr>
            <w:r w:rsidRPr="005D58C9">
              <w:rPr>
                <w:rFonts w:eastAsia="Times New Roman" w:cs="Times New Roman"/>
                <w:color w:val="000000"/>
                <w:sz w:val="22"/>
                <w:szCs w:val="22"/>
              </w:rPr>
              <w:t>Matched (</w:t>
            </w:r>
            <w:r w:rsidRPr="00A93788">
              <w:rPr>
                <w:rFonts w:eastAsia="Times New Roman" w:cs="Times New Roman"/>
                <w:i/>
                <w:iCs/>
                <w:color w:val="000000"/>
                <w:sz w:val="22"/>
                <w:szCs w:val="22"/>
              </w:rPr>
              <w:t>N</w:t>
            </w:r>
            <w:r>
              <w:rPr>
                <w:rFonts w:eastAsia="Times New Roman" w:cs="Times New Roman"/>
                <w:color w:val="000000"/>
                <w:sz w:val="22"/>
                <w:szCs w:val="22"/>
              </w:rPr>
              <w:t xml:space="preserve"> = 3,294</w:t>
            </w:r>
            <w:r w:rsidRPr="005D58C9">
              <w:rPr>
                <w:rFonts w:eastAsia="Times New Roman" w:cs="Times New Roman"/>
                <w:color w:val="000000"/>
                <w:sz w:val="22"/>
                <w:szCs w:val="22"/>
              </w:rPr>
              <w:t>)</w:t>
            </w:r>
          </w:p>
        </w:tc>
      </w:tr>
      <w:tr w:rsidRPr="005D58C9" w:rsidR="005D58C9" w:rsidTr="00F17D97" w14:paraId="2B4805EA" w14:textId="77777777">
        <w:trPr>
          <w:trHeight w:val="288"/>
        </w:trPr>
        <w:tc>
          <w:tcPr>
            <w:tcW w:w="0" w:type="auto"/>
            <w:tcBorders>
              <w:top w:val="nil"/>
              <w:bottom w:val="single" w:color="auto" w:sz="4" w:space="0"/>
            </w:tcBorders>
            <w:shd w:val="clear" w:color="auto" w:fill="auto"/>
            <w:noWrap/>
            <w:vAlign w:val="bottom"/>
            <w:hideMark/>
          </w:tcPr>
          <w:p w:rsidRPr="005D58C9" w:rsidR="00677E53" w:rsidP="00F17D97" w:rsidRDefault="00677E53" w14:paraId="3BE92D1F" w14:textId="77777777">
            <w:pPr>
              <w:spacing w:before="0" w:after="0" w:line="240" w:lineRule="auto"/>
              <w:rPr>
                <w:rFonts w:eastAsia="Times New Roman" w:cs="Times New Roman"/>
                <w:color w:val="000000"/>
                <w:sz w:val="22"/>
                <w:szCs w:val="22"/>
              </w:rPr>
            </w:pPr>
          </w:p>
        </w:tc>
        <w:tc>
          <w:tcPr>
            <w:tcW w:w="0" w:type="auto"/>
            <w:tcBorders>
              <w:top w:val="single" w:color="auto" w:sz="4" w:space="0"/>
              <w:bottom w:val="single" w:color="auto" w:sz="4" w:space="0"/>
            </w:tcBorders>
            <w:shd w:val="clear" w:color="auto" w:fill="auto"/>
            <w:noWrap/>
            <w:vAlign w:val="bottom"/>
            <w:hideMark/>
          </w:tcPr>
          <w:p w:rsidRPr="005D58C9" w:rsidR="00677E53" w:rsidP="00F17D97" w:rsidRDefault="005D58C9" w14:paraId="7B74E1FD" w14:textId="29CF1425">
            <w:pPr>
              <w:spacing w:before="0" w:after="0" w:line="240" w:lineRule="auto"/>
              <w:rPr>
                <w:rFonts w:eastAsia="Times New Roman" w:cs="Times New Roman"/>
                <w:color w:val="000000"/>
                <w:sz w:val="22"/>
                <w:szCs w:val="22"/>
              </w:rPr>
            </w:pPr>
            <w:r>
              <w:rPr>
                <w:rFonts w:eastAsia="Times New Roman" w:cs="Times New Roman"/>
                <w:color w:val="000000"/>
                <w:sz w:val="22"/>
                <w:szCs w:val="22"/>
              </w:rPr>
              <w:t>EE</w:t>
            </w:r>
            <w:r w:rsidRPr="005D58C9" w:rsidR="00677E53">
              <w:rPr>
                <w:rFonts w:eastAsia="Times New Roman" w:cs="Times New Roman"/>
                <w:color w:val="000000"/>
                <w:sz w:val="22"/>
                <w:szCs w:val="22"/>
              </w:rPr>
              <w:t xml:space="preserve"> </w:t>
            </w:r>
            <w:r w:rsidRPr="00A93788" w:rsidR="00677E53">
              <w:rPr>
                <w:rFonts w:eastAsia="Times New Roman" w:cs="Times New Roman"/>
                <w:i/>
                <w:iCs/>
                <w:color w:val="000000"/>
                <w:sz w:val="22"/>
                <w:szCs w:val="22"/>
              </w:rPr>
              <w:t>M</w:t>
            </w:r>
          </w:p>
        </w:tc>
        <w:tc>
          <w:tcPr>
            <w:tcW w:w="0" w:type="auto"/>
            <w:tcBorders>
              <w:top w:val="single" w:color="auto" w:sz="4" w:space="0"/>
              <w:bottom w:val="single" w:color="auto" w:sz="4" w:space="0"/>
            </w:tcBorders>
            <w:shd w:val="clear" w:color="auto" w:fill="auto"/>
            <w:noWrap/>
            <w:vAlign w:val="bottom"/>
            <w:hideMark/>
          </w:tcPr>
          <w:p w:rsidRPr="005D58C9" w:rsidR="00677E53" w:rsidP="00F17D97" w:rsidRDefault="00677E53" w14:paraId="4E0E9E0C" w14:textId="2C3E7F11">
            <w:pPr>
              <w:spacing w:before="0" w:after="0" w:line="240" w:lineRule="auto"/>
              <w:rPr>
                <w:rFonts w:eastAsia="Times New Roman" w:cs="Times New Roman"/>
                <w:color w:val="000000"/>
                <w:sz w:val="22"/>
                <w:szCs w:val="22"/>
              </w:rPr>
            </w:pPr>
            <w:r w:rsidRPr="005D58C9">
              <w:rPr>
                <w:rFonts w:eastAsia="Times New Roman" w:cs="Times New Roman"/>
                <w:color w:val="000000"/>
                <w:sz w:val="22"/>
                <w:szCs w:val="22"/>
              </w:rPr>
              <w:t>Non-</w:t>
            </w:r>
            <w:r w:rsidR="005D58C9">
              <w:rPr>
                <w:rFonts w:eastAsia="Times New Roman" w:cs="Times New Roman"/>
                <w:color w:val="000000"/>
                <w:sz w:val="22"/>
                <w:szCs w:val="22"/>
              </w:rPr>
              <w:t>EE</w:t>
            </w:r>
            <w:r w:rsidRPr="005D58C9">
              <w:rPr>
                <w:rFonts w:eastAsia="Times New Roman" w:cs="Times New Roman"/>
                <w:color w:val="000000"/>
                <w:sz w:val="22"/>
                <w:szCs w:val="22"/>
              </w:rPr>
              <w:t xml:space="preserve"> </w:t>
            </w:r>
            <w:r w:rsidRPr="00A93788">
              <w:rPr>
                <w:rFonts w:eastAsia="Times New Roman" w:cs="Times New Roman"/>
                <w:i/>
                <w:iCs/>
                <w:color w:val="000000"/>
                <w:sz w:val="22"/>
                <w:szCs w:val="22"/>
              </w:rPr>
              <w:t>M</w:t>
            </w:r>
          </w:p>
        </w:tc>
        <w:tc>
          <w:tcPr>
            <w:tcW w:w="0" w:type="auto"/>
            <w:tcBorders>
              <w:top w:val="single" w:color="auto" w:sz="4" w:space="0"/>
              <w:bottom w:val="single" w:color="auto" w:sz="4" w:space="0"/>
            </w:tcBorders>
            <w:shd w:val="clear" w:color="auto" w:fill="auto"/>
            <w:noWrap/>
            <w:vAlign w:val="bottom"/>
            <w:hideMark/>
          </w:tcPr>
          <w:p w:rsidRPr="00A93788" w:rsidR="00677E53" w:rsidP="00F17D97" w:rsidRDefault="00677E53" w14:paraId="21D20502" w14:textId="77777777">
            <w:pPr>
              <w:spacing w:before="0" w:after="0" w:line="240" w:lineRule="auto"/>
              <w:rPr>
                <w:rFonts w:eastAsia="Times New Roman" w:cs="Times New Roman"/>
                <w:i/>
                <w:iCs/>
                <w:color w:val="000000"/>
                <w:sz w:val="22"/>
                <w:szCs w:val="22"/>
              </w:rPr>
            </w:pPr>
            <w:r w:rsidRPr="00A93788">
              <w:rPr>
                <w:rFonts w:eastAsia="Times New Roman" w:cs="Times New Roman"/>
                <w:i/>
                <w:iCs/>
                <w:color w:val="000000"/>
                <w:sz w:val="22"/>
                <w:szCs w:val="22"/>
              </w:rPr>
              <w:t>d</w:t>
            </w:r>
          </w:p>
        </w:tc>
        <w:tc>
          <w:tcPr>
            <w:tcW w:w="0" w:type="auto"/>
            <w:tcBorders>
              <w:top w:val="single" w:color="auto" w:sz="4" w:space="0"/>
              <w:bottom w:val="single" w:color="auto" w:sz="4" w:space="0"/>
            </w:tcBorders>
            <w:shd w:val="clear" w:color="auto" w:fill="auto"/>
            <w:noWrap/>
            <w:vAlign w:val="bottom"/>
            <w:hideMark/>
          </w:tcPr>
          <w:p w:rsidRPr="005D58C9" w:rsidR="00677E53" w:rsidP="00F17D97" w:rsidRDefault="005D58C9" w14:paraId="1116DE9E" w14:textId="218CB379">
            <w:pPr>
              <w:spacing w:before="0" w:after="0" w:line="240" w:lineRule="auto"/>
              <w:rPr>
                <w:rFonts w:eastAsia="Times New Roman" w:cs="Times New Roman"/>
                <w:color w:val="000000"/>
                <w:sz w:val="22"/>
                <w:szCs w:val="22"/>
              </w:rPr>
            </w:pPr>
            <w:r>
              <w:rPr>
                <w:rFonts w:eastAsia="Times New Roman" w:cs="Times New Roman"/>
                <w:color w:val="000000"/>
                <w:sz w:val="22"/>
                <w:szCs w:val="22"/>
              </w:rPr>
              <w:t>EE</w:t>
            </w:r>
            <w:r w:rsidRPr="005D58C9" w:rsidR="00677E53">
              <w:rPr>
                <w:rFonts w:eastAsia="Times New Roman" w:cs="Times New Roman"/>
                <w:color w:val="000000"/>
                <w:sz w:val="22"/>
                <w:szCs w:val="22"/>
              </w:rPr>
              <w:t xml:space="preserve"> </w:t>
            </w:r>
            <w:r w:rsidRPr="00A93788" w:rsidR="00677E53">
              <w:rPr>
                <w:rFonts w:eastAsia="Times New Roman" w:cs="Times New Roman"/>
                <w:i/>
                <w:iCs/>
                <w:color w:val="000000"/>
                <w:sz w:val="22"/>
                <w:szCs w:val="22"/>
              </w:rPr>
              <w:t>M</w:t>
            </w:r>
          </w:p>
        </w:tc>
        <w:tc>
          <w:tcPr>
            <w:tcW w:w="0" w:type="auto"/>
            <w:tcBorders>
              <w:top w:val="single" w:color="auto" w:sz="4" w:space="0"/>
              <w:bottom w:val="single" w:color="auto" w:sz="4" w:space="0"/>
            </w:tcBorders>
            <w:shd w:val="clear" w:color="auto" w:fill="auto"/>
            <w:noWrap/>
            <w:vAlign w:val="bottom"/>
            <w:hideMark/>
          </w:tcPr>
          <w:p w:rsidRPr="005D58C9" w:rsidR="00677E53" w:rsidP="00F17D97" w:rsidRDefault="00677E53" w14:paraId="3567126A" w14:textId="7DA60D32">
            <w:pPr>
              <w:spacing w:before="0" w:after="0" w:line="240" w:lineRule="auto"/>
              <w:rPr>
                <w:rFonts w:eastAsia="Times New Roman" w:cs="Times New Roman"/>
                <w:color w:val="000000"/>
                <w:sz w:val="22"/>
                <w:szCs w:val="22"/>
              </w:rPr>
            </w:pPr>
            <w:r w:rsidRPr="005D58C9">
              <w:rPr>
                <w:rFonts w:eastAsia="Times New Roman" w:cs="Times New Roman"/>
                <w:color w:val="000000"/>
                <w:sz w:val="22"/>
                <w:szCs w:val="22"/>
              </w:rPr>
              <w:t>Non-</w:t>
            </w:r>
            <w:r w:rsidR="005D58C9">
              <w:rPr>
                <w:rFonts w:eastAsia="Times New Roman" w:cs="Times New Roman"/>
                <w:color w:val="000000"/>
                <w:sz w:val="22"/>
                <w:szCs w:val="22"/>
              </w:rPr>
              <w:t>EE</w:t>
            </w:r>
            <w:r w:rsidRPr="005D58C9">
              <w:rPr>
                <w:rFonts w:eastAsia="Times New Roman" w:cs="Times New Roman"/>
                <w:color w:val="000000"/>
                <w:sz w:val="22"/>
                <w:szCs w:val="22"/>
              </w:rPr>
              <w:t xml:space="preserve"> </w:t>
            </w:r>
            <w:r w:rsidRPr="00A93788">
              <w:rPr>
                <w:rFonts w:eastAsia="Times New Roman" w:cs="Times New Roman"/>
                <w:i/>
                <w:iCs/>
                <w:color w:val="000000"/>
                <w:sz w:val="22"/>
                <w:szCs w:val="22"/>
              </w:rPr>
              <w:t>M</w:t>
            </w:r>
          </w:p>
        </w:tc>
        <w:tc>
          <w:tcPr>
            <w:tcW w:w="0" w:type="auto"/>
            <w:tcBorders>
              <w:top w:val="single" w:color="auto" w:sz="4" w:space="0"/>
              <w:bottom w:val="single" w:color="auto" w:sz="4" w:space="0"/>
            </w:tcBorders>
            <w:shd w:val="clear" w:color="auto" w:fill="auto"/>
            <w:noWrap/>
            <w:vAlign w:val="bottom"/>
            <w:hideMark/>
          </w:tcPr>
          <w:p w:rsidRPr="00A93788" w:rsidR="00677E53" w:rsidP="00F17D97" w:rsidRDefault="00677E53" w14:paraId="4E3A3D21" w14:textId="77777777">
            <w:pPr>
              <w:spacing w:before="0" w:after="0" w:line="240" w:lineRule="auto"/>
              <w:rPr>
                <w:rFonts w:eastAsia="Times New Roman" w:cs="Times New Roman"/>
                <w:i/>
                <w:iCs/>
                <w:color w:val="000000"/>
                <w:sz w:val="22"/>
                <w:szCs w:val="22"/>
              </w:rPr>
            </w:pPr>
            <w:r w:rsidRPr="00A93788">
              <w:rPr>
                <w:rFonts w:eastAsia="Times New Roman" w:cs="Times New Roman"/>
                <w:i/>
                <w:iCs/>
                <w:color w:val="000000"/>
                <w:sz w:val="22"/>
                <w:szCs w:val="22"/>
              </w:rPr>
              <w:t>d</w:t>
            </w:r>
          </w:p>
        </w:tc>
      </w:tr>
      <w:tr w:rsidRPr="005D58C9" w:rsidR="005D58C9" w:rsidTr="00ED04B5" w14:paraId="59522787" w14:textId="77777777">
        <w:trPr>
          <w:trHeight w:val="288"/>
        </w:trPr>
        <w:tc>
          <w:tcPr>
            <w:tcW w:w="0" w:type="auto"/>
            <w:tcBorders>
              <w:top w:val="single" w:color="auto" w:sz="4" w:space="0"/>
            </w:tcBorders>
            <w:shd w:val="clear" w:color="auto" w:fill="auto"/>
            <w:noWrap/>
            <w:vAlign w:val="bottom"/>
            <w:hideMark/>
          </w:tcPr>
          <w:p w:rsidRPr="005D58C9" w:rsidR="005D58C9" w:rsidP="005D58C9" w:rsidRDefault="005D58C9" w14:paraId="05179D35" w14:textId="77777777">
            <w:pPr>
              <w:spacing w:before="0" w:after="0" w:line="240" w:lineRule="auto"/>
              <w:rPr>
                <w:rFonts w:eastAsia="Times New Roman" w:cs="Times New Roman"/>
                <w:color w:val="000000"/>
                <w:sz w:val="22"/>
                <w:szCs w:val="22"/>
              </w:rPr>
            </w:pPr>
            <w:r w:rsidRPr="005D58C9">
              <w:rPr>
                <w:rFonts w:eastAsia="Times New Roman" w:cs="Times New Roman"/>
                <w:color w:val="000000"/>
                <w:sz w:val="22"/>
                <w:szCs w:val="22"/>
              </w:rPr>
              <w:t>Department</w:t>
            </w:r>
          </w:p>
        </w:tc>
        <w:tc>
          <w:tcPr>
            <w:tcW w:w="0" w:type="auto"/>
            <w:tcBorders>
              <w:top w:val="single" w:color="auto" w:sz="4" w:space="0"/>
            </w:tcBorders>
            <w:shd w:val="clear" w:color="auto" w:fill="auto"/>
            <w:noWrap/>
            <w:vAlign w:val="bottom"/>
            <w:hideMark/>
          </w:tcPr>
          <w:p w:rsidRPr="005D58C9" w:rsidR="005D58C9" w:rsidP="005D58C9" w:rsidRDefault="005D58C9" w14:paraId="75F69A65" w14:textId="4C3F4B23">
            <w:pPr>
              <w:spacing w:before="0" w:after="0" w:line="240" w:lineRule="auto"/>
              <w:rPr>
                <w:rFonts w:eastAsia="Times New Roman" w:cs="Times New Roman"/>
                <w:color w:val="000000"/>
                <w:sz w:val="22"/>
                <w:szCs w:val="22"/>
              </w:rPr>
            </w:pPr>
            <w:r w:rsidRPr="005D58C9">
              <w:rPr>
                <w:color w:val="000000"/>
                <w:sz w:val="22"/>
                <w:szCs w:val="22"/>
              </w:rPr>
              <w:t>35.30</w:t>
            </w:r>
          </w:p>
        </w:tc>
        <w:tc>
          <w:tcPr>
            <w:tcW w:w="0" w:type="auto"/>
            <w:tcBorders>
              <w:top w:val="single" w:color="auto" w:sz="4" w:space="0"/>
            </w:tcBorders>
            <w:shd w:val="clear" w:color="auto" w:fill="auto"/>
            <w:noWrap/>
            <w:vAlign w:val="bottom"/>
            <w:hideMark/>
          </w:tcPr>
          <w:p w:rsidRPr="005D58C9" w:rsidR="005D58C9" w:rsidP="005D58C9" w:rsidRDefault="005D58C9" w14:paraId="108E11FA" w14:textId="2BBD86A0">
            <w:pPr>
              <w:spacing w:before="0" w:after="0" w:line="240" w:lineRule="auto"/>
              <w:rPr>
                <w:rFonts w:eastAsia="Times New Roman" w:cs="Times New Roman"/>
                <w:color w:val="000000"/>
                <w:sz w:val="22"/>
                <w:szCs w:val="22"/>
              </w:rPr>
            </w:pPr>
            <w:r w:rsidRPr="005D58C9">
              <w:rPr>
                <w:color w:val="000000"/>
                <w:sz w:val="22"/>
                <w:szCs w:val="22"/>
              </w:rPr>
              <w:t>36.39</w:t>
            </w:r>
          </w:p>
        </w:tc>
        <w:tc>
          <w:tcPr>
            <w:tcW w:w="0" w:type="auto"/>
            <w:tcBorders>
              <w:top w:val="single" w:color="auto" w:sz="4" w:space="0"/>
            </w:tcBorders>
            <w:shd w:val="clear" w:color="auto" w:fill="auto"/>
            <w:noWrap/>
            <w:vAlign w:val="bottom"/>
            <w:hideMark/>
          </w:tcPr>
          <w:p w:rsidRPr="005D58C9" w:rsidR="005D58C9" w:rsidP="005D58C9" w:rsidRDefault="005D58C9" w14:paraId="35544BE8" w14:textId="28456495">
            <w:pPr>
              <w:spacing w:before="0" w:after="0" w:line="240" w:lineRule="auto"/>
              <w:rPr>
                <w:rFonts w:eastAsia="Times New Roman" w:cs="Times New Roman"/>
                <w:color w:val="000000"/>
                <w:sz w:val="22"/>
                <w:szCs w:val="22"/>
              </w:rPr>
            </w:pPr>
            <w:r w:rsidRPr="005D58C9">
              <w:rPr>
                <w:color w:val="000000"/>
                <w:sz w:val="22"/>
                <w:szCs w:val="22"/>
              </w:rPr>
              <w:t>-0.08</w:t>
            </w:r>
          </w:p>
        </w:tc>
        <w:tc>
          <w:tcPr>
            <w:tcW w:w="0" w:type="auto"/>
            <w:tcBorders>
              <w:top w:val="single" w:color="auto" w:sz="4" w:space="0"/>
            </w:tcBorders>
            <w:shd w:val="clear" w:color="auto" w:fill="auto"/>
            <w:noWrap/>
            <w:hideMark/>
          </w:tcPr>
          <w:p w:rsidRPr="005D58C9" w:rsidR="005D58C9" w:rsidP="005D58C9" w:rsidRDefault="005D58C9" w14:paraId="7DF0E3EF" w14:textId="5A39DCCF">
            <w:pPr>
              <w:spacing w:before="0" w:after="0" w:line="240" w:lineRule="auto"/>
              <w:rPr>
                <w:rFonts w:eastAsia="Times New Roman" w:cs="Times New Roman"/>
                <w:color w:val="000000"/>
                <w:sz w:val="22"/>
                <w:szCs w:val="22"/>
              </w:rPr>
            </w:pPr>
            <w:r w:rsidRPr="005D58C9">
              <w:rPr>
                <w:sz w:val="22"/>
                <w:szCs w:val="22"/>
              </w:rPr>
              <w:t>35.46</w:t>
            </w:r>
          </w:p>
        </w:tc>
        <w:tc>
          <w:tcPr>
            <w:tcW w:w="0" w:type="auto"/>
            <w:tcBorders>
              <w:top w:val="single" w:color="auto" w:sz="4" w:space="0"/>
            </w:tcBorders>
            <w:shd w:val="clear" w:color="auto" w:fill="auto"/>
            <w:noWrap/>
            <w:hideMark/>
          </w:tcPr>
          <w:p w:rsidRPr="005D58C9" w:rsidR="005D58C9" w:rsidP="005D58C9" w:rsidRDefault="005D58C9" w14:paraId="1D65542B" w14:textId="33BDA498">
            <w:pPr>
              <w:spacing w:before="0" w:after="0" w:line="240" w:lineRule="auto"/>
              <w:rPr>
                <w:rFonts w:eastAsia="Times New Roman" w:cs="Times New Roman"/>
                <w:color w:val="000000"/>
                <w:sz w:val="22"/>
                <w:szCs w:val="22"/>
              </w:rPr>
            </w:pPr>
            <w:r w:rsidRPr="005D58C9">
              <w:rPr>
                <w:sz w:val="22"/>
                <w:szCs w:val="22"/>
              </w:rPr>
              <w:t>35.07</w:t>
            </w:r>
          </w:p>
        </w:tc>
        <w:tc>
          <w:tcPr>
            <w:tcW w:w="0" w:type="auto"/>
            <w:tcBorders>
              <w:top w:val="single" w:color="auto" w:sz="4" w:space="0"/>
            </w:tcBorders>
            <w:shd w:val="clear" w:color="auto" w:fill="auto"/>
            <w:noWrap/>
            <w:hideMark/>
          </w:tcPr>
          <w:p w:rsidRPr="005D58C9" w:rsidR="005D58C9" w:rsidP="005D58C9" w:rsidRDefault="005D58C9" w14:paraId="535AB157" w14:textId="3D08E755">
            <w:pPr>
              <w:spacing w:before="0" w:after="0" w:line="240" w:lineRule="auto"/>
              <w:rPr>
                <w:rFonts w:eastAsia="Times New Roman" w:cs="Times New Roman"/>
                <w:color w:val="000000"/>
                <w:sz w:val="22"/>
                <w:szCs w:val="22"/>
              </w:rPr>
            </w:pPr>
            <w:r w:rsidRPr="005D58C9">
              <w:rPr>
                <w:sz w:val="22"/>
                <w:szCs w:val="22"/>
              </w:rPr>
              <w:t>0.03</w:t>
            </w:r>
          </w:p>
        </w:tc>
      </w:tr>
      <w:tr w:rsidRPr="005D58C9" w:rsidR="005D58C9" w:rsidTr="00ED04B5" w14:paraId="4836816C" w14:textId="77777777">
        <w:trPr>
          <w:trHeight w:val="288"/>
        </w:trPr>
        <w:tc>
          <w:tcPr>
            <w:tcW w:w="0" w:type="auto"/>
            <w:shd w:val="clear" w:color="auto" w:fill="auto"/>
            <w:noWrap/>
            <w:vAlign w:val="bottom"/>
            <w:hideMark/>
          </w:tcPr>
          <w:p w:rsidRPr="005D58C9" w:rsidR="005D58C9" w:rsidP="005D58C9" w:rsidRDefault="005D58C9" w14:paraId="3FC3467A" w14:textId="77777777">
            <w:pPr>
              <w:spacing w:before="0" w:after="0" w:line="240" w:lineRule="auto"/>
              <w:rPr>
                <w:rFonts w:eastAsia="Times New Roman" w:cs="Times New Roman"/>
                <w:color w:val="000000"/>
                <w:sz w:val="22"/>
                <w:szCs w:val="22"/>
              </w:rPr>
            </w:pPr>
            <w:r w:rsidRPr="005D58C9">
              <w:rPr>
                <w:rFonts w:eastAsia="Times New Roman" w:cs="Times New Roman"/>
                <w:color w:val="000000"/>
                <w:sz w:val="22"/>
                <w:szCs w:val="22"/>
              </w:rPr>
              <w:t>Race</w:t>
            </w:r>
          </w:p>
        </w:tc>
        <w:tc>
          <w:tcPr>
            <w:tcW w:w="0" w:type="auto"/>
            <w:shd w:val="clear" w:color="auto" w:fill="auto"/>
            <w:noWrap/>
            <w:vAlign w:val="bottom"/>
            <w:hideMark/>
          </w:tcPr>
          <w:p w:rsidRPr="005D58C9" w:rsidR="005D58C9" w:rsidP="005D58C9" w:rsidRDefault="005D58C9" w14:paraId="41738765" w14:textId="230E2EC1">
            <w:pPr>
              <w:spacing w:before="0" w:after="0" w:line="240" w:lineRule="auto"/>
              <w:rPr>
                <w:rFonts w:eastAsia="Times New Roman" w:cs="Times New Roman"/>
                <w:color w:val="000000"/>
                <w:sz w:val="22"/>
                <w:szCs w:val="22"/>
              </w:rPr>
            </w:pPr>
            <w:r w:rsidRPr="005D58C9">
              <w:rPr>
                <w:color w:val="000000"/>
                <w:sz w:val="22"/>
                <w:szCs w:val="22"/>
              </w:rPr>
              <w:t>7.52</w:t>
            </w:r>
          </w:p>
        </w:tc>
        <w:tc>
          <w:tcPr>
            <w:tcW w:w="0" w:type="auto"/>
            <w:shd w:val="clear" w:color="auto" w:fill="auto"/>
            <w:noWrap/>
            <w:vAlign w:val="bottom"/>
            <w:hideMark/>
          </w:tcPr>
          <w:p w:rsidRPr="005D58C9" w:rsidR="005D58C9" w:rsidP="005D58C9" w:rsidRDefault="005D58C9" w14:paraId="081DF5B4" w14:textId="786442F8">
            <w:pPr>
              <w:spacing w:before="0" w:after="0" w:line="240" w:lineRule="auto"/>
              <w:rPr>
                <w:rFonts w:eastAsia="Times New Roman" w:cs="Times New Roman"/>
                <w:color w:val="000000"/>
                <w:sz w:val="22"/>
                <w:szCs w:val="22"/>
              </w:rPr>
            </w:pPr>
            <w:r w:rsidRPr="005D58C9">
              <w:rPr>
                <w:color w:val="000000"/>
                <w:sz w:val="22"/>
                <w:szCs w:val="22"/>
              </w:rPr>
              <w:t>7.68</w:t>
            </w:r>
          </w:p>
        </w:tc>
        <w:tc>
          <w:tcPr>
            <w:tcW w:w="0" w:type="auto"/>
            <w:shd w:val="clear" w:color="auto" w:fill="auto"/>
            <w:noWrap/>
            <w:vAlign w:val="bottom"/>
            <w:hideMark/>
          </w:tcPr>
          <w:p w:rsidRPr="005D58C9" w:rsidR="005D58C9" w:rsidP="005D58C9" w:rsidRDefault="005D58C9" w14:paraId="00679CDD" w14:textId="3963B952">
            <w:pPr>
              <w:spacing w:before="0" w:after="0" w:line="240" w:lineRule="auto"/>
              <w:rPr>
                <w:rFonts w:eastAsia="Times New Roman" w:cs="Times New Roman"/>
                <w:color w:val="000000"/>
                <w:sz w:val="22"/>
                <w:szCs w:val="22"/>
              </w:rPr>
            </w:pPr>
            <w:r w:rsidRPr="005D58C9">
              <w:rPr>
                <w:color w:val="000000"/>
                <w:sz w:val="22"/>
                <w:szCs w:val="22"/>
              </w:rPr>
              <w:t>-0.07</w:t>
            </w:r>
          </w:p>
        </w:tc>
        <w:tc>
          <w:tcPr>
            <w:tcW w:w="0" w:type="auto"/>
            <w:shd w:val="clear" w:color="auto" w:fill="auto"/>
            <w:noWrap/>
            <w:hideMark/>
          </w:tcPr>
          <w:p w:rsidRPr="005D58C9" w:rsidR="005D58C9" w:rsidP="005D58C9" w:rsidRDefault="005D58C9" w14:paraId="21F96CAE" w14:textId="14FB9BA4">
            <w:pPr>
              <w:spacing w:before="0" w:after="0" w:line="240" w:lineRule="auto"/>
              <w:rPr>
                <w:rFonts w:eastAsia="Times New Roman" w:cs="Times New Roman"/>
                <w:color w:val="000000"/>
                <w:sz w:val="22"/>
                <w:szCs w:val="22"/>
              </w:rPr>
            </w:pPr>
            <w:r w:rsidRPr="005D58C9">
              <w:rPr>
                <w:sz w:val="22"/>
                <w:szCs w:val="22"/>
              </w:rPr>
              <w:t>7.52</w:t>
            </w:r>
          </w:p>
        </w:tc>
        <w:tc>
          <w:tcPr>
            <w:tcW w:w="0" w:type="auto"/>
            <w:shd w:val="clear" w:color="auto" w:fill="auto"/>
            <w:noWrap/>
            <w:hideMark/>
          </w:tcPr>
          <w:p w:rsidRPr="005D58C9" w:rsidR="005D58C9" w:rsidP="005D58C9" w:rsidRDefault="005D58C9" w14:paraId="78CB10FF" w14:textId="64133B3C">
            <w:pPr>
              <w:spacing w:before="0" w:after="0" w:line="240" w:lineRule="auto"/>
              <w:rPr>
                <w:rFonts w:eastAsia="Times New Roman" w:cs="Times New Roman"/>
                <w:color w:val="000000"/>
                <w:sz w:val="22"/>
                <w:szCs w:val="22"/>
              </w:rPr>
            </w:pPr>
            <w:r w:rsidRPr="005D58C9">
              <w:rPr>
                <w:sz w:val="22"/>
                <w:szCs w:val="22"/>
              </w:rPr>
              <w:t>7.66</w:t>
            </w:r>
          </w:p>
        </w:tc>
        <w:tc>
          <w:tcPr>
            <w:tcW w:w="0" w:type="auto"/>
            <w:shd w:val="clear" w:color="auto" w:fill="auto"/>
            <w:noWrap/>
            <w:hideMark/>
          </w:tcPr>
          <w:p w:rsidRPr="005D58C9" w:rsidR="005D58C9" w:rsidP="005D58C9" w:rsidRDefault="005D58C9" w14:paraId="2158014C" w14:textId="7BA9613E">
            <w:pPr>
              <w:spacing w:before="0" w:after="0" w:line="240" w:lineRule="auto"/>
              <w:rPr>
                <w:rFonts w:eastAsia="Times New Roman" w:cs="Times New Roman"/>
                <w:color w:val="000000"/>
                <w:sz w:val="22"/>
                <w:szCs w:val="22"/>
              </w:rPr>
            </w:pPr>
            <w:r w:rsidRPr="005D58C9">
              <w:rPr>
                <w:sz w:val="22"/>
                <w:szCs w:val="22"/>
              </w:rPr>
              <w:t>-0.06</w:t>
            </w:r>
          </w:p>
        </w:tc>
      </w:tr>
      <w:tr w:rsidRPr="005D58C9" w:rsidR="005D58C9" w:rsidTr="00ED04B5" w14:paraId="0F84186C" w14:textId="77777777">
        <w:trPr>
          <w:trHeight w:val="288"/>
        </w:trPr>
        <w:tc>
          <w:tcPr>
            <w:tcW w:w="0" w:type="auto"/>
            <w:shd w:val="clear" w:color="auto" w:fill="auto"/>
            <w:noWrap/>
            <w:vAlign w:val="bottom"/>
            <w:hideMark/>
          </w:tcPr>
          <w:p w:rsidRPr="005D58C9" w:rsidR="005D58C9" w:rsidP="005D58C9" w:rsidRDefault="005D58C9" w14:paraId="6E0FEAA4" w14:textId="77777777">
            <w:pPr>
              <w:spacing w:before="0" w:after="0" w:line="240" w:lineRule="auto"/>
              <w:rPr>
                <w:rFonts w:eastAsia="Times New Roman" w:cs="Times New Roman"/>
                <w:color w:val="000000"/>
                <w:sz w:val="22"/>
                <w:szCs w:val="22"/>
              </w:rPr>
            </w:pPr>
            <w:r w:rsidRPr="005D58C9">
              <w:rPr>
                <w:rFonts w:eastAsia="Times New Roman" w:cs="Times New Roman"/>
                <w:color w:val="000000"/>
                <w:sz w:val="22"/>
                <w:szCs w:val="22"/>
              </w:rPr>
              <w:t>Gender</w:t>
            </w:r>
          </w:p>
        </w:tc>
        <w:tc>
          <w:tcPr>
            <w:tcW w:w="0" w:type="auto"/>
            <w:shd w:val="clear" w:color="auto" w:fill="auto"/>
            <w:noWrap/>
            <w:vAlign w:val="bottom"/>
            <w:hideMark/>
          </w:tcPr>
          <w:p w:rsidRPr="005D58C9" w:rsidR="005D58C9" w:rsidP="005D58C9" w:rsidRDefault="005D58C9" w14:paraId="73A990AF" w14:textId="637C941E">
            <w:pPr>
              <w:spacing w:before="0" w:after="0" w:line="240" w:lineRule="auto"/>
              <w:rPr>
                <w:rFonts w:eastAsia="Times New Roman" w:cs="Times New Roman"/>
                <w:color w:val="000000"/>
                <w:sz w:val="22"/>
                <w:szCs w:val="22"/>
              </w:rPr>
            </w:pPr>
            <w:r w:rsidRPr="005D58C9">
              <w:rPr>
                <w:color w:val="000000"/>
                <w:sz w:val="22"/>
                <w:szCs w:val="22"/>
              </w:rPr>
              <w:t>2.30</w:t>
            </w:r>
          </w:p>
        </w:tc>
        <w:tc>
          <w:tcPr>
            <w:tcW w:w="0" w:type="auto"/>
            <w:shd w:val="clear" w:color="auto" w:fill="auto"/>
            <w:noWrap/>
            <w:vAlign w:val="bottom"/>
            <w:hideMark/>
          </w:tcPr>
          <w:p w:rsidRPr="005D58C9" w:rsidR="005D58C9" w:rsidP="005D58C9" w:rsidRDefault="005D58C9" w14:paraId="4B207432" w14:textId="07189F23">
            <w:pPr>
              <w:spacing w:before="0" w:after="0" w:line="240" w:lineRule="auto"/>
              <w:rPr>
                <w:rFonts w:eastAsia="Times New Roman" w:cs="Times New Roman"/>
                <w:color w:val="000000"/>
                <w:sz w:val="22"/>
                <w:szCs w:val="22"/>
              </w:rPr>
            </w:pPr>
            <w:r w:rsidRPr="005D58C9">
              <w:rPr>
                <w:color w:val="000000"/>
                <w:sz w:val="22"/>
                <w:szCs w:val="22"/>
              </w:rPr>
              <w:t>2.45</w:t>
            </w:r>
          </w:p>
        </w:tc>
        <w:tc>
          <w:tcPr>
            <w:tcW w:w="0" w:type="auto"/>
            <w:shd w:val="clear" w:color="auto" w:fill="auto"/>
            <w:noWrap/>
            <w:vAlign w:val="bottom"/>
            <w:hideMark/>
          </w:tcPr>
          <w:p w:rsidRPr="005D58C9" w:rsidR="005D58C9" w:rsidP="005D58C9" w:rsidRDefault="005D58C9" w14:paraId="37168E49" w14:textId="79851E42">
            <w:pPr>
              <w:spacing w:before="0" w:after="0" w:line="240" w:lineRule="auto"/>
              <w:rPr>
                <w:rFonts w:eastAsia="Times New Roman" w:cs="Times New Roman"/>
                <w:color w:val="000000"/>
                <w:sz w:val="22"/>
                <w:szCs w:val="22"/>
              </w:rPr>
            </w:pPr>
            <w:r w:rsidRPr="005D58C9">
              <w:rPr>
                <w:color w:val="000000"/>
                <w:sz w:val="22"/>
                <w:szCs w:val="22"/>
              </w:rPr>
              <w:t>-0.30</w:t>
            </w:r>
          </w:p>
        </w:tc>
        <w:tc>
          <w:tcPr>
            <w:tcW w:w="0" w:type="auto"/>
            <w:shd w:val="clear" w:color="auto" w:fill="auto"/>
            <w:noWrap/>
            <w:hideMark/>
          </w:tcPr>
          <w:p w:rsidRPr="005D58C9" w:rsidR="005D58C9" w:rsidP="005D58C9" w:rsidRDefault="005D58C9" w14:paraId="775D647A" w14:textId="46AF271C">
            <w:pPr>
              <w:spacing w:before="0" w:after="0" w:line="240" w:lineRule="auto"/>
              <w:rPr>
                <w:rFonts w:eastAsia="Times New Roman" w:cs="Times New Roman"/>
                <w:color w:val="000000"/>
                <w:sz w:val="22"/>
                <w:szCs w:val="22"/>
              </w:rPr>
            </w:pPr>
            <w:r w:rsidRPr="005D58C9">
              <w:rPr>
                <w:sz w:val="22"/>
                <w:szCs w:val="22"/>
              </w:rPr>
              <w:t>2.31</w:t>
            </w:r>
          </w:p>
        </w:tc>
        <w:tc>
          <w:tcPr>
            <w:tcW w:w="0" w:type="auto"/>
            <w:shd w:val="clear" w:color="auto" w:fill="auto"/>
            <w:noWrap/>
            <w:hideMark/>
          </w:tcPr>
          <w:p w:rsidRPr="005D58C9" w:rsidR="005D58C9" w:rsidP="005D58C9" w:rsidRDefault="005D58C9" w14:paraId="54E493FB" w14:textId="5DC4FD60">
            <w:pPr>
              <w:spacing w:before="0" w:after="0" w:line="240" w:lineRule="auto"/>
              <w:rPr>
                <w:rFonts w:eastAsia="Times New Roman" w:cs="Times New Roman"/>
                <w:color w:val="000000"/>
                <w:sz w:val="22"/>
                <w:szCs w:val="22"/>
              </w:rPr>
            </w:pPr>
            <w:r w:rsidRPr="005D58C9">
              <w:rPr>
                <w:sz w:val="22"/>
                <w:szCs w:val="22"/>
              </w:rPr>
              <w:t>2.30</w:t>
            </w:r>
          </w:p>
        </w:tc>
        <w:tc>
          <w:tcPr>
            <w:tcW w:w="0" w:type="auto"/>
            <w:shd w:val="clear" w:color="auto" w:fill="auto"/>
            <w:noWrap/>
            <w:hideMark/>
          </w:tcPr>
          <w:p w:rsidRPr="005D58C9" w:rsidR="005D58C9" w:rsidP="005D58C9" w:rsidRDefault="005D58C9" w14:paraId="600DE12B" w14:textId="53C9E839">
            <w:pPr>
              <w:spacing w:before="0" w:after="0" w:line="240" w:lineRule="auto"/>
              <w:rPr>
                <w:rFonts w:eastAsia="Times New Roman" w:cs="Times New Roman"/>
                <w:color w:val="000000"/>
                <w:sz w:val="22"/>
                <w:szCs w:val="22"/>
              </w:rPr>
            </w:pPr>
            <w:r w:rsidRPr="005D58C9">
              <w:rPr>
                <w:sz w:val="22"/>
                <w:szCs w:val="22"/>
              </w:rPr>
              <w:t>0.03</w:t>
            </w:r>
          </w:p>
        </w:tc>
      </w:tr>
      <w:tr w:rsidRPr="005D58C9" w:rsidR="005D58C9" w:rsidTr="00ED04B5" w14:paraId="1788D993" w14:textId="77777777">
        <w:trPr>
          <w:trHeight w:val="288"/>
        </w:trPr>
        <w:tc>
          <w:tcPr>
            <w:tcW w:w="0" w:type="auto"/>
            <w:shd w:val="clear" w:color="auto" w:fill="auto"/>
            <w:noWrap/>
            <w:vAlign w:val="bottom"/>
            <w:hideMark/>
          </w:tcPr>
          <w:p w:rsidRPr="005D58C9" w:rsidR="005D58C9" w:rsidP="005D58C9" w:rsidRDefault="005D58C9" w14:paraId="59A9ACFE" w14:textId="77777777">
            <w:pPr>
              <w:spacing w:before="0" w:after="0" w:line="240" w:lineRule="auto"/>
              <w:rPr>
                <w:rFonts w:eastAsia="Times New Roman" w:cs="Times New Roman"/>
                <w:color w:val="000000"/>
                <w:sz w:val="22"/>
                <w:szCs w:val="22"/>
              </w:rPr>
            </w:pPr>
            <w:r w:rsidRPr="005D58C9">
              <w:rPr>
                <w:rFonts w:eastAsia="Times New Roman" w:cs="Times New Roman"/>
                <w:color w:val="000000"/>
                <w:sz w:val="22"/>
                <w:szCs w:val="22"/>
              </w:rPr>
              <w:lastRenderedPageBreak/>
              <w:t>Course Enrollment</w:t>
            </w:r>
          </w:p>
        </w:tc>
        <w:tc>
          <w:tcPr>
            <w:tcW w:w="0" w:type="auto"/>
            <w:shd w:val="clear" w:color="auto" w:fill="auto"/>
            <w:noWrap/>
            <w:vAlign w:val="bottom"/>
            <w:hideMark/>
          </w:tcPr>
          <w:p w:rsidRPr="005D58C9" w:rsidR="005D58C9" w:rsidP="005D58C9" w:rsidRDefault="005D58C9" w14:paraId="5D5E6A3B" w14:textId="67971E88">
            <w:pPr>
              <w:spacing w:before="0" w:after="0" w:line="240" w:lineRule="auto"/>
              <w:rPr>
                <w:rFonts w:eastAsia="Times New Roman" w:cs="Times New Roman"/>
                <w:color w:val="000000"/>
                <w:sz w:val="22"/>
                <w:szCs w:val="22"/>
              </w:rPr>
            </w:pPr>
            <w:r w:rsidRPr="005D58C9">
              <w:rPr>
                <w:color w:val="000000"/>
                <w:sz w:val="22"/>
                <w:szCs w:val="22"/>
              </w:rPr>
              <w:t>29.43</w:t>
            </w:r>
          </w:p>
        </w:tc>
        <w:tc>
          <w:tcPr>
            <w:tcW w:w="0" w:type="auto"/>
            <w:shd w:val="clear" w:color="auto" w:fill="auto"/>
            <w:noWrap/>
            <w:vAlign w:val="bottom"/>
            <w:hideMark/>
          </w:tcPr>
          <w:p w:rsidRPr="005D58C9" w:rsidR="005D58C9" w:rsidP="005D58C9" w:rsidRDefault="005D58C9" w14:paraId="0A1E5119" w14:textId="319CC9B0">
            <w:pPr>
              <w:spacing w:before="0" w:after="0" w:line="240" w:lineRule="auto"/>
              <w:rPr>
                <w:rFonts w:eastAsia="Times New Roman" w:cs="Times New Roman"/>
                <w:color w:val="000000"/>
                <w:sz w:val="22"/>
                <w:szCs w:val="22"/>
              </w:rPr>
            </w:pPr>
            <w:r w:rsidRPr="005D58C9">
              <w:rPr>
                <w:color w:val="000000"/>
                <w:sz w:val="22"/>
                <w:szCs w:val="22"/>
              </w:rPr>
              <w:t>24.41</w:t>
            </w:r>
          </w:p>
        </w:tc>
        <w:tc>
          <w:tcPr>
            <w:tcW w:w="0" w:type="auto"/>
            <w:shd w:val="clear" w:color="auto" w:fill="auto"/>
            <w:noWrap/>
            <w:vAlign w:val="bottom"/>
            <w:hideMark/>
          </w:tcPr>
          <w:p w:rsidRPr="005D58C9" w:rsidR="005D58C9" w:rsidP="005D58C9" w:rsidRDefault="005D58C9" w14:paraId="4819E2A1" w14:textId="735CCC9F">
            <w:pPr>
              <w:spacing w:before="0" w:after="0" w:line="240" w:lineRule="auto"/>
              <w:rPr>
                <w:rFonts w:eastAsia="Times New Roman" w:cs="Times New Roman"/>
                <w:color w:val="000000"/>
                <w:sz w:val="22"/>
                <w:szCs w:val="22"/>
              </w:rPr>
            </w:pPr>
            <w:r w:rsidRPr="005D58C9">
              <w:rPr>
                <w:color w:val="000000"/>
                <w:sz w:val="22"/>
                <w:szCs w:val="22"/>
              </w:rPr>
              <w:t>0.19</w:t>
            </w:r>
          </w:p>
        </w:tc>
        <w:tc>
          <w:tcPr>
            <w:tcW w:w="0" w:type="auto"/>
            <w:shd w:val="clear" w:color="auto" w:fill="auto"/>
            <w:noWrap/>
            <w:hideMark/>
          </w:tcPr>
          <w:p w:rsidRPr="005D58C9" w:rsidR="005D58C9" w:rsidP="005D58C9" w:rsidRDefault="005D58C9" w14:paraId="24181D52" w14:textId="14513D36">
            <w:pPr>
              <w:spacing w:before="0" w:after="0" w:line="240" w:lineRule="auto"/>
              <w:rPr>
                <w:rFonts w:eastAsia="Times New Roman" w:cs="Times New Roman"/>
                <w:color w:val="000000"/>
                <w:sz w:val="22"/>
                <w:szCs w:val="22"/>
              </w:rPr>
            </w:pPr>
            <w:r w:rsidRPr="005D58C9">
              <w:rPr>
                <w:sz w:val="22"/>
                <w:szCs w:val="22"/>
              </w:rPr>
              <w:t>28.11</w:t>
            </w:r>
          </w:p>
        </w:tc>
        <w:tc>
          <w:tcPr>
            <w:tcW w:w="0" w:type="auto"/>
            <w:shd w:val="clear" w:color="auto" w:fill="auto"/>
            <w:noWrap/>
            <w:hideMark/>
          </w:tcPr>
          <w:p w:rsidRPr="005D58C9" w:rsidR="005D58C9" w:rsidP="005D58C9" w:rsidRDefault="005D58C9" w14:paraId="4C299CAB" w14:textId="7894EE42">
            <w:pPr>
              <w:spacing w:before="0" w:after="0" w:line="240" w:lineRule="auto"/>
              <w:rPr>
                <w:rFonts w:eastAsia="Times New Roman" w:cs="Times New Roman"/>
                <w:color w:val="000000"/>
                <w:sz w:val="22"/>
                <w:szCs w:val="22"/>
              </w:rPr>
            </w:pPr>
            <w:r w:rsidRPr="005D58C9">
              <w:rPr>
                <w:sz w:val="22"/>
                <w:szCs w:val="22"/>
              </w:rPr>
              <w:t>27.04</w:t>
            </w:r>
          </w:p>
        </w:tc>
        <w:tc>
          <w:tcPr>
            <w:tcW w:w="0" w:type="auto"/>
            <w:shd w:val="clear" w:color="auto" w:fill="auto"/>
            <w:noWrap/>
            <w:hideMark/>
          </w:tcPr>
          <w:p w:rsidRPr="005D58C9" w:rsidR="005D58C9" w:rsidP="005D58C9" w:rsidRDefault="005D58C9" w14:paraId="736C29B4" w14:textId="0A32106D">
            <w:pPr>
              <w:spacing w:before="0" w:after="0" w:line="240" w:lineRule="auto"/>
              <w:rPr>
                <w:rFonts w:eastAsia="Times New Roman" w:cs="Times New Roman"/>
                <w:color w:val="000000"/>
                <w:sz w:val="22"/>
                <w:szCs w:val="22"/>
              </w:rPr>
            </w:pPr>
            <w:r w:rsidRPr="005D58C9">
              <w:rPr>
                <w:sz w:val="22"/>
                <w:szCs w:val="22"/>
              </w:rPr>
              <w:t>0.04</w:t>
            </w:r>
          </w:p>
        </w:tc>
      </w:tr>
    </w:tbl>
    <w:p w:rsidR="00BF0345" w:rsidP="00BC5222" w:rsidRDefault="00BF0345" w14:paraId="6F3C5B15" w14:textId="77777777">
      <w:pPr>
        <w:pStyle w:val="NoSpacing"/>
        <w:rPr>
          <w:sz w:val="24"/>
          <w:szCs w:val="24"/>
        </w:rPr>
      </w:pPr>
    </w:p>
    <w:p w:rsidRPr="00BC5222" w:rsidR="00BC5222" w:rsidP="00BC5222" w:rsidRDefault="00BC5222" w14:paraId="2EC6EA11" w14:textId="48D78BC7">
      <w:pPr>
        <w:pStyle w:val="NoSpacing"/>
        <w:rPr>
          <w:sz w:val="24"/>
          <w:szCs w:val="24"/>
        </w:rPr>
      </w:pPr>
      <w:r w:rsidRPr="00BC5222">
        <w:rPr>
          <w:sz w:val="24"/>
          <w:szCs w:val="24"/>
        </w:rPr>
        <w:t xml:space="preserve">An analysis of </w:t>
      </w:r>
      <w:r w:rsidR="00BF5661">
        <w:rPr>
          <w:sz w:val="24"/>
          <w:szCs w:val="24"/>
        </w:rPr>
        <w:t>DFQ rates</w:t>
      </w:r>
      <w:r w:rsidRPr="00BC5222">
        <w:rPr>
          <w:sz w:val="24"/>
          <w:szCs w:val="24"/>
        </w:rPr>
        <w:t xml:space="preserve"> across colleges revealed consistent differences between Non-EE and EE </w:t>
      </w:r>
      <w:r w:rsidR="00BF5661">
        <w:rPr>
          <w:sz w:val="24"/>
          <w:szCs w:val="24"/>
        </w:rPr>
        <w:t>courses</w:t>
      </w:r>
      <w:r w:rsidRPr="00BC5222">
        <w:rPr>
          <w:sz w:val="24"/>
          <w:szCs w:val="24"/>
        </w:rPr>
        <w:t xml:space="preserve">. Overall, </w:t>
      </w:r>
      <w:r w:rsidR="00F5762D">
        <w:rPr>
          <w:sz w:val="24"/>
          <w:szCs w:val="24"/>
        </w:rPr>
        <w:t>courses</w:t>
      </w:r>
      <w:r w:rsidRPr="00BC5222">
        <w:rPr>
          <w:sz w:val="24"/>
          <w:szCs w:val="24"/>
        </w:rPr>
        <w:t xml:space="preserve"> in the EE group demonstrated lower </w:t>
      </w:r>
      <w:r w:rsidR="00F5762D">
        <w:rPr>
          <w:sz w:val="24"/>
          <w:szCs w:val="24"/>
        </w:rPr>
        <w:t>DFQ rates</w:t>
      </w:r>
      <w:r w:rsidRPr="00BC5222">
        <w:rPr>
          <w:sz w:val="24"/>
          <w:szCs w:val="24"/>
        </w:rPr>
        <w:t xml:space="preserve"> across all colleges, suggesting a potential positive impact of the EE </w:t>
      </w:r>
      <w:r w:rsidR="001E6E6D">
        <w:rPr>
          <w:sz w:val="24"/>
          <w:szCs w:val="24"/>
        </w:rPr>
        <w:t>program</w:t>
      </w:r>
      <w:r w:rsidR="00BF5661">
        <w:rPr>
          <w:sz w:val="24"/>
          <w:szCs w:val="24"/>
        </w:rPr>
        <w:t xml:space="preserve"> (Table </w:t>
      </w:r>
      <w:r w:rsidR="00F92848">
        <w:rPr>
          <w:sz w:val="24"/>
          <w:szCs w:val="24"/>
        </w:rPr>
        <w:t>5</w:t>
      </w:r>
      <w:r w:rsidR="00BF5661">
        <w:rPr>
          <w:sz w:val="24"/>
          <w:szCs w:val="24"/>
        </w:rPr>
        <w:t>)</w:t>
      </w:r>
      <w:r w:rsidRPr="00BC5222">
        <w:rPr>
          <w:sz w:val="24"/>
          <w:szCs w:val="24"/>
        </w:rPr>
        <w:t>.</w:t>
      </w:r>
    </w:p>
    <w:p w:rsidRPr="00BC5222" w:rsidR="00BC5222" w:rsidP="00BC5222" w:rsidRDefault="00BC5222" w14:paraId="200E5177" w14:textId="111CF17B">
      <w:pPr>
        <w:pStyle w:val="NoSpacing"/>
        <w:rPr>
          <w:sz w:val="24"/>
          <w:szCs w:val="24"/>
        </w:rPr>
      </w:pPr>
      <w:r w:rsidRPr="00BC5222">
        <w:rPr>
          <w:sz w:val="24"/>
          <w:szCs w:val="24"/>
        </w:rPr>
        <w:t xml:space="preserve">In most colleges, the reductions were modest but noticeable. For instance, in the College of Business Administration, the percentage dropped from 16.21% in the </w:t>
      </w:r>
      <w:proofErr w:type="gramStart"/>
      <w:r w:rsidRPr="00BC5222">
        <w:rPr>
          <w:sz w:val="24"/>
          <w:szCs w:val="24"/>
        </w:rPr>
        <w:t>Non-EE</w:t>
      </w:r>
      <w:proofErr w:type="gramEnd"/>
      <w:r w:rsidRPr="00BC5222">
        <w:rPr>
          <w:sz w:val="24"/>
          <w:szCs w:val="24"/>
        </w:rPr>
        <w:t xml:space="preserve"> </w:t>
      </w:r>
      <w:r w:rsidR="001E6E6D">
        <w:rPr>
          <w:sz w:val="24"/>
          <w:szCs w:val="24"/>
        </w:rPr>
        <w:t>courses</w:t>
      </w:r>
      <w:r w:rsidRPr="00BC5222">
        <w:rPr>
          <w:sz w:val="24"/>
          <w:szCs w:val="24"/>
        </w:rPr>
        <w:t xml:space="preserve"> to 11.90% in EE </w:t>
      </w:r>
      <w:r w:rsidR="001E6E6D">
        <w:rPr>
          <w:sz w:val="24"/>
          <w:szCs w:val="24"/>
        </w:rPr>
        <w:t>courses</w:t>
      </w:r>
      <w:r w:rsidRPr="00BC5222">
        <w:rPr>
          <w:sz w:val="24"/>
          <w:szCs w:val="24"/>
        </w:rPr>
        <w:t xml:space="preserve">, while the College of Humanities and Social Sciences saw a decrease from 17.20% to 14.72%. The College of Science and Engineering Technology maintained the highest percentages </w:t>
      </w:r>
      <w:r w:rsidRPr="00BC5222" w:rsidR="001E6E6D">
        <w:rPr>
          <w:sz w:val="24"/>
          <w:szCs w:val="24"/>
        </w:rPr>
        <w:t>overall but</w:t>
      </w:r>
      <w:r w:rsidRPr="00BC5222">
        <w:rPr>
          <w:sz w:val="24"/>
          <w:szCs w:val="24"/>
        </w:rPr>
        <w:t xml:space="preserve"> still showed a decline from 25.31% to 22.55% in the EE group.</w:t>
      </w:r>
    </w:p>
    <w:p w:rsidRPr="00BC5222" w:rsidR="00BC5222" w:rsidP="00BC5222" w:rsidRDefault="00BC5222" w14:paraId="6057FA0D" w14:textId="58953B2F">
      <w:pPr>
        <w:pStyle w:val="NoSpacing"/>
        <w:rPr>
          <w:sz w:val="24"/>
          <w:szCs w:val="24"/>
        </w:rPr>
      </w:pPr>
      <w:r w:rsidRPr="00BC5222">
        <w:rPr>
          <w:sz w:val="24"/>
          <w:szCs w:val="24"/>
        </w:rPr>
        <w:t xml:space="preserve">Some colleges demonstrated more dramatic improvements. Most notably, the College of Criminal Justice saw a significant reduction, with the percentage dropping from 10.23% among </w:t>
      </w:r>
      <w:proofErr w:type="gramStart"/>
      <w:r w:rsidRPr="00BC5222">
        <w:rPr>
          <w:sz w:val="24"/>
          <w:szCs w:val="24"/>
        </w:rPr>
        <w:t>Non-EE</w:t>
      </w:r>
      <w:proofErr w:type="gramEnd"/>
      <w:r w:rsidRPr="00BC5222">
        <w:rPr>
          <w:sz w:val="24"/>
          <w:szCs w:val="24"/>
        </w:rPr>
        <w:t xml:space="preserve"> </w:t>
      </w:r>
      <w:r w:rsidR="001E6E6D">
        <w:rPr>
          <w:sz w:val="24"/>
          <w:szCs w:val="24"/>
        </w:rPr>
        <w:t>courses</w:t>
      </w:r>
      <w:r w:rsidRPr="00BC5222">
        <w:rPr>
          <w:sz w:val="24"/>
          <w:szCs w:val="24"/>
        </w:rPr>
        <w:t xml:space="preserve"> to just 3.28% among EE </w:t>
      </w:r>
      <w:r w:rsidR="00F5762D">
        <w:rPr>
          <w:sz w:val="24"/>
          <w:szCs w:val="24"/>
        </w:rPr>
        <w:t>courses</w:t>
      </w:r>
      <w:r w:rsidRPr="00BC5222">
        <w:rPr>
          <w:sz w:val="24"/>
          <w:szCs w:val="24"/>
        </w:rPr>
        <w:t>. The College of Education and College of Health Sciences also showed slight decreases, though both started with relatively low percentages to begin with.</w:t>
      </w:r>
    </w:p>
    <w:p w:rsidRPr="003078F3" w:rsidR="003078F3" w:rsidP="00BC5222" w:rsidRDefault="00BC5222" w14:paraId="05813EFB" w14:textId="2ACBC8E2">
      <w:pPr>
        <w:pStyle w:val="NoSpacing"/>
        <w:rPr>
          <w:sz w:val="24"/>
          <w:szCs w:val="24"/>
        </w:rPr>
      </w:pPr>
      <w:r w:rsidRPr="00BC5222">
        <w:rPr>
          <w:sz w:val="24"/>
          <w:szCs w:val="24"/>
        </w:rPr>
        <w:t>Interestingly, the College of Arts and Media showed almost no difference between groups, with nearly identical percentages of 10.73% (</w:t>
      </w:r>
      <w:proofErr w:type="gramStart"/>
      <w:r w:rsidRPr="00BC5222">
        <w:rPr>
          <w:sz w:val="24"/>
          <w:szCs w:val="24"/>
        </w:rPr>
        <w:t>Non-EE</w:t>
      </w:r>
      <w:proofErr w:type="gramEnd"/>
      <w:r w:rsidRPr="00BC5222">
        <w:rPr>
          <w:sz w:val="24"/>
          <w:szCs w:val="24"/>
        </w:rPr>
        <w:t>) and 10.77% (EE).</w:t>
      </w:r>
    </w:p>
    <w:p w:rsidRPr="003078F3" w:rsidR="003078F3" w:rsidP="003078F3" w:rsidRDefault="003078F3" w14:paraId="7819AB30" w14:textId="55F2D4A9">
      <w:pPr>
        <w:pStyle w:val="NoSpacing"/>
        <w:rPr>
          <w:sz w:val="24"/>
          <w:szCs w:val="24"/>
        </w:rPr>
      </w:pPr>
      <w:r w:rsidRPr="003078F3">
        <w:rPr>
          <w:sz w:val="24"/>
          <w:szCs w:val="24"/>
        </w:rPr>
        <w:t>An examination of mean</w:t>
      </w:r>
      <w:r w:rsidR="001E6E6D">
        <w:rPr>
          <w:sz w:val="24"/>
          <w:szCs w:val="24"/>
        </w:rPr>
        <w:t xml:space="preserve"> Excellent Teacher</w:t>
      </w:r>
      <w:r w:rsidRPr="003078F3">
        <w:rPr>
          <w:sz w:val="24"/>
          <w:szCs w:val="24"/>
        </w:rPr>
        <w:t xml:space="preserve"> scores across colleges revealed generally similar or slightly higher average ratings for EE students compared to their </w:t>
      </w:r>
      <w:proofErr w:type="gramStart"/>
      <w:r w:rsidRPr="003078F3">
        <w:rPr>
          <w:sz w:val="24"/>
          <w:szCs w:val="24"/>
        </w:rPr>
        <w:t>Non-EE</w:t>
      </w:r>
      <w:proofErr w:type="gramEnd"/>
      <w:r w:rsidRPr="003078F3">
        <w:rPr>
          <w:sz w:val="24"/>
          <w:szCs w:val="24"/>
        </w:rPr>
        <w:t xml:space="preserve"> peers, suggesting that students in </w:t>
      </w:r>
      <w:r w:rsidR="00BF5661">
        <w:rPr>
          <w:sz w:val="24"/>
          <w:szCs w:val="24"/>
        </w:rPr>
        <w:t>courses taught by EE faculty</w:t>
      </w:r>
      <w:r w:rsidRPr="003078F3">
        <w:rPr>
          <w:sz w:val="24"/>
          <w:szCs w:val="24"/>
        </w:rPr>
        <w:t xml:space="preserve"> may have had more favorable experiences or outcomes, though the differences are typically modest</w:t>
      </w:r>
      <w:r w:rsidR="00BF5661">
        <w:rPr>
          <w:sz w:val="24"/>
          <w:szCs w:val="24"/>
        </w:rPr>
        <w:t xml:space="preserve"> (Table </w:t>
      </w:r>
      <w:r w:rsidR="00F92848">
        <w:rPr>
          <w:sz w:val="24"/>
          <w:szCs w:val="24"/>
        </w:rPr>
        <w:t>6</w:t>
      </w:r>
      <w:r w:rsidR="00BF5661">
        <w:rPr>
          <w:sz w:val="24"/>
          <w:szCs w:val="24"/>
        </w:rPr>
        <w:t>)</w:t>
      </w:r>
      <w:r w:rsidRPr="003078F3">
        <w:rPr>
          <w:sz w:val="24"/>
          <w:szCs w:val="24"/>
        </w:rPr>
        <w:t>.</w:t>
      </w:r>
    </w:p>
    <w:p w:rsidRPr="003078F3" w:rsidR="003078F3" w:rsidP="003078F3" w:rsidRDefault="003078F3" w14:paraId="0BC955BD" w14:textId="0136736A">
      <w:pPr>
        <w:pStyle w:val="NoSpacing"/>
        <w:rPr>
          <w:sz w:val="24"/>
          <w:szCs w:val="24"/>
        </w:rPr>
      </w:pPr>
      <w:r w:rsidRPr="003078F3">
        <w:rPr>
          <w:sz w:val="24"/>
          <w:szCs w:val="24"/>
        </w:rPr>
        <w:t xml:space="preserve">In the College of Arts and Media, EE </w:t>
      </w:r>
      <w:r w:rsidR="00BF5661">
        <w:rPr>
          <w:sz w:val="24"/>
          <w:szCs w:val="24"/>
        </w:rPr>
        <w:t>faculty</w:t>
      </w:r>
      <w:r w:rsidRPr="003078F3">
        <w:rPr>
          <w:sz w:val="24"/>
          <w:szCs w:val="24"/>
        </w:rPr>
        <w:t xml:space="preserve"> </w:t>
      </w:r>
      <w:r w:rsidR="00BF5661">
        <w:rPr>
          <w:sz w:val="24"/>
          <w:szCs w:val="24"/>
        </w:rPr>
        <w:t xml:space="preserve">had </w:t>
      </w:r>
      <w:r w:rsidRPr="003078F3">
        <w:rPr>
          <w:sz w:val="24"/>
          <w:szCs w:val="24"/>
        </w:rPr>
        <w:t xml:space="preserve">slightly higher mean score (4.43) than </w:t>
      </w:r>
      <w:proofErr w:type="gramStart"/>
      <w:r w:rsidRPr="003078F3">
        <w:rPr>
          <w:sz w:val="24"/>
          <w:szCs w:val="24"/>
        </w:rPr>
        <w:t>Non-EE</w:t>
      </w:r>
      <w:proofErr w:type="gramEnd"/>
      <w:r w:rsidRPr="003078F3">
        <w:rPr>
          <w:sz w:val="24"/>
          <w:szCs w:val="24"/>
        </w:rPr>
        <w:t xml:space="preserve"> </w:t>
      </w:r>
      <w:r w:rsidR="00BF5661">
        <w:rPr>
          <w:sz w:val="24"/>
          <w:szCs w:val="24"/>
        </w:rPr>
        <w:t>faculty</w:t>
      </w:r>
      <w:r w:rsidRPr="003078F3">
        <w:rPr>
          <w:sz w:val="24"/>
          <w:szCs w:val="24"/>
        </w:rPr>
        <w:t xml:space="preserve"> (4.40), with a smaller standard deviation, indicating more consistency in responses. In the College of Business Administration, scores were nearly identical between groups, showing no meaningful difference.</w:t>
      </w:r>
    </w:p>
    <w:p w:rsidRPr="003078F3" w:rsidR="003078F3" w:rsidP="003078F3" w:rsidRDefault="003078F3" w14:paraId="45EAEC88" w14:textId="1E155B17">
      <w:pPr>
        <w:pStyle w:val="NoSpacing"/>
        <w:rPr>
          <w:sz w:val="24"/>
          <w:szCs w:val="24"/>
        </w:rPr>
      </w:pPr>
      <w:r w:rsidRPr="003078F3">
        <w:rPr>
          <w:sz w:val="24"/>
          <w:szCs w:val="24"/>
        </w:rPr>
        <w:t xml:space="preserve">The most notable difference appeared in the College of Criminal Justice, where EE </w:t>
      </w:r>
      <w:r w:rsidR="00BF5661">
        <w:rPr>
          <w:sz w:val="24"/>
          <w:szCs w:val="24"/>
        </w:rPr>
        <w:t>faculty</w:t>
      </w:r>
      <w:r w:rsidRPr="003078F3">
        <w:rPr>
          <w:sz w:val="24"/>
          <w:szCs w:val="24"/>
        </w:rPr>
        <w:t xml:space="preserve"> had a considerably higher mean score (4.61) compared to </w:t>
      </w:r>
      <w:proofErr w:type="gramStart"/>
      <w:r w:rsidRPr="003078F3">
        <w:rPr>
          <w:sz w:val="24"/>
          <w:szCs w:val="24"/>
        </w:rPr>
        <w:t>Non-EE</w:t>
      </w:r>
      <w:proofErr w:type="gramEnd"/>
      <w:r w:rsidRPr="003078F3">
        <w:rPr>
          <w:sz w:val="24"/>
          <w:szCs w:val="24"/>
        </w:rPr>
        <w:t xml:space="preserve"> students (4.35), accompanied by lower variability—suggesting both stronger and more consistent outcomes.</w:t>
      </w:r>
    </w:p>
    <w:p w:rsidRPr="003078F3" w:rsidR="003078F3" w:rsidP="003078F3" w:rsidRDefault="003078F3" w14:paraId="6080F213" w14:textId="77777777">
      <w:pPr>
        <w:pStyle w:val="NoSpacing"/>
        <w:rPr>
          <w:sz w:val="24"/>
          <w:szCs w:val="24"/>
        </w:rPr>
      </w:pPr>
      <w:r w:rsidRPr="003078F3">
        <w:rPr>
          <w:sz w:val="24"/>
          <w:szCs w:val="24"/>
        </w:rPr>
        <w:t xml:space="preserve">In the College of Education, both groups reported similarly high scores (above 4.43), with EE students slightly outperforming their </w:t>
      </w:r>
      <w:proofErr w:type="gramStart"/>
      <w:r w:rsidRPr="003078F3">
        <w:rPr>
          <w:sz w:val="24"/>
          <w:szCs w:val="24"/>
        </w:rPr>
        <w:t>Non-EE</w:t>
      </w:r>
      <w:proofErr w:type="gramEnd"/>
      <w:r w:rsidRPr="003078F3">
        <w:rPr>
          <w:sz w:val="24"/>
          <w:szCs w:val="24"/>
        </w:rPr>
        <w:t xml:space="preserve"> peers. Health Sciences and Science and Engineering Technology also showed small but favorable differences for EE students.</w:t>
      </w:r>
    </w:p>
    <w:p w:rsidRPr="003078F3" w:rsidR="003078F3" w:rsidP="003078F3" w:rsidRDefault="003078F3" w14:paraId="4DD3A67B" w14:textId="34582E24">
      <w:pPr>
        <w:pStyle w:val="NoSpacing"/>
        <w:rPr>
          <w:sz w:val="24"/>
          <w:szCs w:val="24"/>
        </w:rPr>
      </w:pPr>
      <w:r w:rsidRPr="003078F3">
        <w:rPr>
          <w:sz w:val="24"/>
          <w:szCs w:val="24"/>
        </w:rPr>
        <w:t xml:space="preserve">The College of Humanities and Social Sciences presented a slight decrease in average score for EE </w:t>
      </w:r>
      <w:r w:rsidR="00BF5661">
        <w:rPr>
          <w:sz w:val="24"/>
          <w:szCs w:val="24"/>
        </w:rPr>
        <w:t>faculty</w:t>
      </w:r>
      <w:r w:rsidRPr="003078F3">
        <w:rPr>
          <w:sz w:val="24"/>
          <w:szCs w:val="24"/>
        </w:rPr>
        <w:t xml:space="preserve"> (4.36) compared to </w:t>
      </w:r>
      <w:proofErr w:type="gramStart"/>
      <w:r w:rsidRPr="003078F3">
        <w:rPr>
          <w:sz w:val="24"/>
          <w:szCs w:val="24"/>
        </w:rPr>
        <w:t>Non-EE</w:t>
      </w:r>
      <w:proofErr w:type="gramEnd"/>
      <w:r w:rsidRPr="003078F3">
        <w:rPr>
          <w:sz w:val="24"/>
          <w:szCs w:val="24"/>
        </w:rPr>
        <w:t xml:space="preserve"> </w:t>
      </w:r>
      <w:r w:rsidR="00BF5661">
        <w:rPr>
          <w:sz w:val="24"/>
          <w:szCs w:val="24"/>
        </w:rPr>
        <w:t xml:space="preserve">faculty </w:t>
      </w:r>
      <w:r w:rsidRPr="003078F3">
        <w:rPr>
          <w:sz w:val="24"/>
          <w:szCs w:val="24"/>
        </w:rPr>
        <w:t>(4.39), though the difference was minimal.</w:t>
      </w:r>
    </w:p>
    <w:p w:rsidR="00BC5222" w:rsidP="00B27EFB" w:rsidRDefault="00BC5222" w14:paraId="7FD48832" w14:textId="77777777">
      <w:pPr>
        <w:pStyle w:val="NoSpacing"/>
        <w:rPr>
          <w:sz w:val="24"/>
          <w:szCs w:val="24"/>
        </w:rPr>
      </w:pPr>
    </w:p>
    <w:p w:rsidR="00F92848" w:rsidP="00B27EFB" w:rsidRDefault="00F92848" w14:paraId="373A10A3" w14:textId="77777777">
      <w:pPr>
        <w:pStyle w:val="NoSpacing"/>
        <w:rPr>
          <w:sz w:val="24"/>
          <w:szCs w:val="24"/>
        </w:rPr>
      </w:pPr>
    </w:p>
    <w:p w:rsidR="00F92848" w:rsidP="00B27EFB" w:rsidRDefault="00F92848" w14:paraId="2BD7B6C2" w14:textId="77777777">
      <w:pPr>
        <w:pStyle w:val="NoSpacing"/>
        <w:rPr>
          <w:sz w:val="24"/>
          <w:szCs w:val="24"/>
        </w:rPr>
      </w:pPr>
    </w:p>
    <w:p w:rsidR="00F92848" w:rsidP="00B27EFB" w:rsidRDefault="00F92848" w14:paraId="275FF665" w14:textId="77777777">
      <w:pPr>
        <w:pStyle w:val="NoSpacing"/>
        <w:rPr>
          <w:sz w:val="24"/>
          <w:szCs w:val="24"/>
        </w:rPr>
      </w:pPr>
    </w:p>
    <w:p w:rsidR="00F92848" w:rsidP="00B27EFB" w:rsidRDefault="00F92848" w14:paraId="6892E61C" w14:textId="77777777">
      <w:pPr>
        <w:pStyle w:val="NoSpacing"/>
        <w:rPr>
          <w:sz w:val="24"/>
          <w:szCs w:val="24"/>
        </w:rPr>
      </w:pPr>
    </w:p>
    <w:p w:rsidRPr="003C42E4" w:rsidR="00B27EFB" w:rsidP="00B27EFB" w:rsidRDefault="00B27EFB" w14:paraId="04D31A99" w14:textId="7C195B1B">
      <w:pPr>
        <w:pStyle w:val="NoSpacing"/>
        <w:rPr>
          <w:sz w:val="24"/>
          <w:szCs w:val="24"/>
        </w:rPr>
      </w:pPr>
      <w:r w:rsidRPr="003C42E4">
        <w:rPr>
          <w:sz w:val="24"/>
          <w:szCs w:val="24"/>
        </w:rPr>
        <w:t xml:space="preserve">Table </w:t>
      </w:r>
      <w:r w:rsidR="00FF3E21">
        <w:rPr>
          <w:sz w:val="24"/>
          <w:szCs w:val="24"/>
        </w:rPr>
        <w:t>5</w:t>
      </w:r>
    </w:p>
    <w:p w:rsidRPr="00B27EFB" w:rsidR="00B27EFB" w:rsidP="00B27EFB" w:rsidRDefault="00B27EFB" w14:paraId="73AE67DA" w14:textId="2321917E">
      <w:pPr>
        <w:pStyle w:val="NoSpacing"/>
        <w:rPr>
          <w:i/>
          <w:iCs/>
          <w:sz w:val="24"/>
          <w:szCs w:val="24"/>
        </w:rPr>
      </w:pPr>
      <w:r w:rsidRPr="003C42E4">
        <w:rPr>
          <w:i/>
          <w:iCs/>
          <w:sz w:val="24"/>
          <w:szCs w:val="24"/>
        </w:rPr>
        <w:t xml:space="preserve">Student DFQ Rate by College and </w:t>
      </w:r>
      <w:r>
        <w:rPr>
          <w:i/>
          <w:iCs/>
          <w:sz w:val="24"/>
          <w:szCs w:val="24"/>
        </w:rPr>
        <w:t>EE</w:t>
      </w:r>
      <w:r w:rsidRPr="003C42E4">
        <w:rPr>
          <w:i/>
          <w:iCs/>
          <w:sz w:val="24"/>
          <w:szCs w:val="24"/>
        </w:rPr>
        <w:t xml:space="preserve"> Participation</w:t>
      </w:r>
    </w:p>
    <w:tbl>
      <w:tblPr>
        <w:tblW w:w="5000" w:type="pct"/>
        <w:tblBorders>
          <w:top w:val="single" w:color="auto" w:sz="4" w:space="0"/>
          <w:bottom w:val="single" w:color="auto" w:sz="4" w:space="0"/>
        </w:tblBorders>
        <w:tblLook w:val="04A0" w:firstRow="1" w:lastRow="0" w:firstColumn="1" w:lastColumn="0" w:noHBand="0" w:noVBand="1"/>
      </w:tblPr>
      <w:tblGrid>
        <w:gridCol w:w="4239"/>
        <w:gridCol w:w="1108"/>
        <w:gridCol w:w="1108"/>
        <w:gridCol w:w="1108"/>
        <w:gridCol w:w="1108"/>
        <w:gridCol w:w="689"/>
      </w:tblGrid>
      <w:tr w:rsidRPr="008B2B47" w:rsidR="008B2B47" w:rsidTr="00B27EFB" w14:paraId="17C4FC38" w14:textId="77777777">
        <w:trPr>
          <w:trHeight w:val="288"/>
        </w:trPr>
        <w:tc>
          <w:tcPr>
            <w:tcW w:w="2264" w:type="pct"/>
            <w:tcBorders>
              <w:bottom w:val="nil"/>
            </w:tcBorders>
            <w:shd w:val="clear" w:color="auto" w:fill="auto"/>
            <w:noWrap/>
            <w:vAlign w:val="bottom"/>
            <w:hideMark/>
          </w:tcPr>
          <w:p w:rsidRPr="008B2B47" w:rsidR="008B2B47" w:rsidP="008B2B47" w:rsidRDefault="008B2B47" w14:paraId="783339A2" w14:textId="77777777">
            <w:pPr>
              <w:spacing w:before="0" w:after="0" w:line="240" w:lineRule="auto"/>
              <w:rPr>
                <w:rFonts w:ascii="Times New Roman" w:hAnsi="Times New Roman" w:eastAsia="Times New Roman" w:cs="Times New Roman"/>
                <w:sz w:val="24"/>
                <w:szCs w:val="24"/>
              </w:rPr>
            </w:pPr>
          </w:p>
        </w:tc>
        <w:tc>
          <w:tcPr>
            <w:tcW w:w="592" w:type="pct"/>
            <w:tcBorders>
              <w:top w:val="single" w:color="auto" w:sz="4" w:space="0"/>
              <w:bottom w:val="single" w:color="auto" w:sz="4" w:space="0"/>
            </w:tcBorders>
            <w:shd w:val="clear" w:color="auto" w:fill="auto"/>
            <w:noWrap/>
            <w:vAlign w:val="bottom"/>
            <w:hideMark/>
          </w:tcPr>
          <w:p w:rsidRPr="008B2B47" w:rsidR="008B2B47" w:rsidP="008B2B47" w:rsidRDefault="008B2B47" w14:paraId="6036EFD7" w14:textId="77777777">
            <w:pPr>
              <w:spacing w:before="0" w:after="0" w:line="240" w:lineRule="auto"/>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Non-EE</w:t>
            </w:r>
          </w:p>
        </w:tc>
        <w:tc>
          <w:tcPr>
            <w:tcW w:w="592" w:type="pct"/>
            <w:tcBorders>
              <w:top w:val="single" w:color="auto" w:sz="4" w:space="0"/>
              <w:bottom w:val="single" w:color="auto" w:sz="4" w:space="0"/>
            </w:tcBorders>
            <w:shd w:val="clear" w:color="auto" w:fill="auto"/>
            <w:noWrap/>
            <w:vAlign w:val="bottom"/>
            <w:hideMark/>
          </w:tcPr>
          <w:p w:rsidRPr="008B2B47" w:rsidR="008B2B47" w:rsidP="008B2B47" w:rsidRDefault="008B2B47" w14:paraId="369BEBD7" w14:textId="77777777">
            <w:pPr>
              <w:spacing w:before="0" w:after="0" w:line="240" w:lineRule="auto"/>
              <w:rPr>
                <w:rFonts w:ascii="Aptos Narrow" w:hAnsi="Aptos Narrow" w:eastAsia="Times New Roman" w:cs="Times New Roman"/>
                <w:color w:val="000000"/>
                <w:sz w:val="24"/>
                <w:szCs w:val="24"/>
              </w:rPr>
            </w:pPr>
          </w:p>
        </w:tc>
        <w:tc>
          <w:tcPr>
            <w:tcW w:w="592" w:type="pct"/>
            <w:tcBorders>
              <w:top w:val="single" w:color="auto" w:sz="4" w:space="0"/>
              <w:bottom w:val="single" w:color="auto" w:sz="4" w:space="0"/>
            </w:tcBorders>
            <w:shd w:val="clear" w:color="auto" w:fill="auto"/>
            <w:noWrap/>
            <w:vAlign w:val="bottom"/>
            <w:hideMark/>
          </w:tcPr>
          <w:p w:rsidRPr="008B2B47" w:rsidR="008B2B47" w:rsidP="008B2B47" w:rsidRDefault="008B2B47" w14:paraId="16B35DB1" w14:textId="77777777">
            <w:pPr>
              <w:spacing w:before="0" w:after="0" w:line="240" w:lineRule="auto"/>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EE</w:t>
            </w:r>
          </w:p>
        </w:tc>
        <w:tc>
          <w:tcPr>
            <w:tcW w:w="592" w:type="pct"/>
            <w:tcBorders>
              <w:top w:val="single" w:color="auto" w:sz="4" w:space="0"/>
              <w:bottom w:val="single" w:color="auto" w:sz="4" w:space="0"/>
            </w:tcBorders>
            <w:shd w:val="clear" w:color="auto" w:fill="auto"/>
            <w:noWrap/>
            <w:vAlign w:val="bottom"/>
            <w:hideMark/>
          </w:tcPr>
          <w:p w:rsidRPr="008B2B47" w:rsidR="008B2B47" w:rsidP="008B2B47" w:rsidRDefault="008B2B47" w14:paraId="7A1E06D2" w14:textId="77777777">
            <w:pPr>
              <w:spacing w:before="0" w:after="0" w:line="240" w:lineRule="auto"/>
              <w:rPr>
                <w:rFonts w:ascii="Aptos Narrow" w:hAnsi="Aptos Narrow" w:eastAsia="Times New Roman" w:cs="Times New Roman"/>
                <w:color w:val="000000"/>
                <w:sz w:val="24"/>
                <w:szCs w:val="24"/>
              </w:rPr>
            </w:pPr>
          </w:p>
        </w:tc>
        <w:tc>
          <w:tcPr>
            <w:tcW w:w="368" w:type="pct"/>
            <w:tcBorders>
              <w:top w:val="single" w:color="auto" w:sz="4" w:space="0"/>
              <w:bottom w:val="single" w:color="auto" w:sz="4" w:space="0"/>
            </w:tcBorders>
            <w:shd w:val="clear" w:color="auto" w:fill="auto"/>
            <w:noWrap/>
            <w:vAlign w:val="bottom"/>
            <w:hideMark/>
          </w:tcPr>
          <w:p w:rsidRPr="008B2B47" w:rsidR="008B2B47" w:rsidP="008B2B47" w:rsidRDefault="008B2B47" w14:paraId="6CF896FB" w14:textId="77777777">
            <w:pPr>
              <w:spacing w:before="0" w:after="0" w:line="240" w:lineRule="auto"/>
              <w:rPr>
                <w:rFonts w:ascii="Times New Roman" w:hAnsi="Times New Roman" w:eastAsia="Times New Roman" w:cs="Times New Roman"/>
                <w:sz w:val="24"/>
                <w:szCs w:val="24"/>
              </w:rPr>
            </w:pPr>
          </w:p>
        </w:tc>
      </w:tr>
      <w:tr w:rsidRPr="008B2B47" w:rsidR="008B2B47" w:rsidTr="00B27EFB" w14:paraId="3BEF4848" w14:textId="77777777">
        <w:trPr>
          <w:trHeight w:val="288"/>
        </w:trPr>
        <w:tc>
          <w:tcPr>
            <w:tcW w:w="2264" w:type="pct"/>
            <w:tcBorders>
              <w:top w:val="nil"/>
              <w:bottom w:val="single" w:color="auto" w:sz="4" w:space="0"/>
            </w:tcBorders>
            <w:shd w:val="clear" w:color="auto" w:fill="auto"/>
            <w:noWrap/>
            <w:vAlign w:val="bottom"/>
            <w:hideMark/>
          </w:tcPr>
          <w:p w:rsidRPr="008B2B47" w:rsidR="008B2B47" w:rsidP="008B2B47" w:rsidRDefault="008B2B47" w14:paraId="7B0CAC82" w14:textId="77777777">
            <w:pPr>
              <w:spacing w:before="0" w:after="0" w:line="240" w:lineRule="auto"/>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College</w:t>
            </w:r>
          </w:p>
        </w:tc>
        <w:tc>
          <w:tcPr>
            <w:tcW w:w="592" w:type="pct"/>
            <w:tcBorders>
              <w:top w:val="single" w:color="auto" w:sz="4" w:space="0"/>
              <w:bottom w:val="single" w:color="auto" w:sz="4" w:space="0"/>
            </w:tcBorders>
            <w:shd w:val="clear" w:color="auto" w:fill="auto"/>
            <w:noWrap/>
            <w:vAlign w:val="bottom"/>
            <w:hideMark/>
          </w:tcPr>
          <w:p w:rsidRPr="008B2B47" w:rsidR="008B2B47" w:rsidP="008B2B47" w:rsidRDefault="008B2B47" w14:paraId="3042F1F6" w14:textId="77777777">
            <w:pPr>
              <w:spacing w:before="0" w:after="0" w:line="240" w:lineRule="auto"/>
              <w:rPr>
                <w:rFonts w:ascii="Aptos Narrow" w:hAnsi="Aptos Narrow" w:eastAsia="Times New Roman" w:cs="Times New Roman"/>
                <w:i/>
                <w:iCs/>
                <w:color w:val="000000"/>
                <w:sz w:val="24"/>
                <w:szCs w:val="24"/>
              </w:rPr>
            </w:pPr>
            <w:r w:rsidRPr="008B2B47">
              <w:rPr>
                <w:rFonts w:ascii="Aptos Narrow" w:hAnsi="Aptos Narrow" w:eastAsia="Times New Roman" w:cs="Times New Roman"/>
                <w:i/>
                <w:iCs/>
                <w:color w:val="000000"/>
                <w:sz w:val="24"/>
                <w:szCs w:val="24"/>
              </w:rPr>
              <w:t>M</w:t>
            </w:r>
          </w:p>
        </w:tc>
        <w:tc>
          <w:tcPr>
            <w:tcW w:w="592" w:type="pct"/>
            <w:tcBorders>
              <w:top w:val="single" w:color="auto" w:sz="4" w:space="0"/>
              <w:bottom w:val="single" w:color="auto" w:sz="4" w:space="0"/>
            </w:tcBorders>
            <w:shd w:val="clear" w:color="auto" w:fill="auto"/>
            <w:noWrap/>
            <w:vAlign w:val="bottom"/>
            <w:hideMark/>
          </w:tcPr>
          <w:p w:rsidRPr="008B2B47" w:rsidR="008B2B47" w:rsidP="008B2B47" w:rsidRDefault="008B2B47" w14:paraId="1349323A" w14:textId="77777777">
            <w:pPr>
              <w:spacing w:before="0" w:after="0" w:line="240" w:lineRule="auto"/>
              <w:rPr>
                <w:rFonts w:ascii="Aptos Narrow" w:hAnsi="Aptos Narrow" w:eastAsia="Times New Roman" w:cs="Times New Roman"/>
                <w:i/>
                <w:iCs/>
                <w:color w:val="000000"/>
                <w:sz w:val="24"/>
                <w:szCs w:val="24"/>
              </w:rPr>
            </w:pPr>
            <w:r w:rsidRPr="008B2B47">
              <w:rPr>
                <w:rFonts w:ascii="Aptos Narrow" w:hAnsi="Aptos Narrow" w:eastAsia="Times New Roman" w:cs="Times New Roman"/>
                <w:i/>
                <w:iCs/>
                <w:color w:val="000000"/>
                <w:sz w:val="24"/>
                <w:szCs w:val="24"/>
              </w:rPr>
              <w:t>SD</w:t>
            </w:r>
          </w:p>
        </w:tc>
        <w:tc>
          <w:tcPr>
            <w:tcW w:w="592" w:type="pct"/>
            <w:tcBorders>
              <w:top w:val="single" w:color="auto" w:sz="4" w:space="0"/>
              <w:bottom w:val="single" w:color="auto" w:sz="4" w:space="0"/>
            </w:tcBorders>
            <w:shd w:val="clear" w:color="auto" w:fill="auto"/>
            <w:noWrap/>
            <w:vAlign w:val="bottom"/>
            <w:hideMark/>
          </w:tcPr>
          <w:p w:rsidRPr="008B2B47" w:rsidR="008B2B47" w:rsidP="008B2B47" w:rsidRDefault="008B2B47" w14:paraId="7A1895F6" w14:textId="77777777">
            <w:pPr>
              <w:spacing w:before="0" w:after="0" w:line="240" w:lineRule="auto"/>
              <w:rPr>
                <w:rFonts w:ascii="Aptos Narrow" w:hAnsi="Aptos Narrow" w:eastAsia="Times New Roman" w:cs="Times New Roman"/>
                <w:i/>
                <w:iCs/>
                <w:color w:val="000000"/>
                <w:sz w:val="24"/>
                <w:szCs w:val="24"/>
              </w:rPr>
            </w:pPr>
            <w:r w:rsidRPr="008B2B47">
              <w:rPr>
                <w:rFonts w:ascii="Aptos Narrow" w:hAnsi="Aptos Narrow" w:eastAsia="Times New Roman" w:cs="Times New Roman"/>
                <w:i/>
                <w:iCs/>
                <w:color w:val="000000"/>
                <w:sz w:val="24"/>
                <w:szCs w:val="24"/>
              </w:rPr>
              <w:t>M</w:t>
            </w:r>
          </w:p>
        </w:tc>
        <w:tc>
          <w:tcPr>
            <w:tcW w:w="592" w:type="pct"/>
            <w:tcBorders>
              <w:top w:val="single" w:color="auto" w:sz="4" w:space="0"/>
              <w:bottom w:val="single" w:color="auto" w:sz="4" w:space="0"/>
            </w:tcBorders>
            <w:shd w:val="clear" w:color="auto" w:fill="auto"/>
            <w:noWrap/>
            <w:vAlign w:val="bottom"/>
            <w:hideMark/>
          </w:tcPr>
          <w:p w:rsidRPr="008B2B47" w:rsidR="008B2B47" w:rsidP="008B2B47" w:rsidRDefault="008B2B47" w14:paraId="1C3DF5BB" w14:textId="77777777">
            <w:pPr>
              <w:spacing w:before="0" w:after="0" w:line="240" w:lineRule="auto"/>
              <w:rPr>
                <w:rFonts w:ascii="Aptos Narrow" w:hAnsi="Aptos Narrow" w:eastAsia="Times New Roman" w:cs="Times New Roman"/>
                <w:i/>
                <w:iCs/>
                <w:color w:val="000000"/>
                <w:sz w:val="24"/>
                <w:szCs w:val="24"/>
              </w:rPr>
            </w:pPr>
            <w:r w:rsidRPr="008B2B47">
              <w:rPr>
                <w:rFonts w:ascii="Aptos Narrow" w:hAnsi="Aptos Narrow" w:eastAsia="Times New Roman" w:cs="Times New Roman"/>
                <w:i/>
                <w:iCs/>
                <w:color w:val="000000"/>
                <w:sz w:val="24"/>
                <w:szCs w:val="24"/>
              </w:rPr>
              <w:t>SD</w:t>
            </w:r>
          </w:p>
        </w:tc>
        <w:tc>
          <w:tcPr>
            <w:tcW w:w="368" w:type="pct"/>
            <w:tcBorders>
              <w:top w:val="single" w:color="auto" w:sz="4" w:space="0"/>
              <w:bottom w:val="single" w:color="auto" w:sz="4" w:space="0"/>
            </w:tcBorders>
            <w:shd w:val="clear" w:color="auto" w:fill="auto"/>
            <w:noWrap/>
            <w:vAlign w:val="bottom"/>
            <w:hideMark/>
          </w:tcPr>
          <w:p w:rsidRPr="008B2B47" w:rsidR="008B2B47" w:rsidP="008B2B47" w:rsidRDefault="008B2B47" w14:paraId="1008C80D" w14:textId="77777777">
            <w:pPr>
              <w:spacing w:before="0" w:after="0" w:line="240" w:lineRule="auto"/>
              <w:rPr>
                <w:rFonts w:ascii="Aptos Narrow" w:hAnsi="Aptos Narrow" w:eastAsia="Times New Roman" w:cs="Times New Roman"/>
                <w:i/>
                <w:iCs/>
                <w:color w:val="000000"/>
                <w:sz w:val="24"/>
                <w:szCs w:val="24"/>
              </w:rPr>
            </w:pPr>
            <w:r w:rsidRPr="008B2B47">
              <w:rPr>
                <w:rFonts w:ascii="Aptos Narrow" w:hAnsi="Aptos Narrow" w:eastAsia="Times New Roman" w:cs="Times New Roman"/>
                <w:i/>
                <w:iCs/>
                <w:color w:val="000000"/>
                <w:sz w:val="24"/>
                <w:szCs w:val="24"/>
              </w:rPr>
              <w:t>N</w:t>
            </w:r>
          </w:p>
        </w:tc>
      </w:tr>
      <w:tr w:rsidRPr="008B2B47" w:rsidR="008B2B47" w:rsidTr="003F7A51" w14:paraId="385FD789" w14:textId="77777777">
        <w:trPr>
          <w:trHeight w:val="288"/>
        </w:trPr>
        <w:tc>
          <w:tcPr>
            <w:tcW w:w="2264" w:type="pct"/>
            <w:tcBorders>
              <w:top w:val="single" w:color="auto" w:sz="4" w:space="0"/>
            </w:tcBorders>
            <w:shd w:val="clear" w:color="auto" w:fill="auto"/>
            <w:noWrap/>
            <w:vAlign w:val="bottom"/>
            <w:hideMark/>
          </w:tcPr>
          <w:p w:rsidRPr="008B2B47" w:rsidR="008B2B47" w:rsidP="008B2B47" w:rsidRDefault="008B2B47" w14:paraId="65B4B66A" w14:textId="77777777">
            <w:pPr>
              <w:spacing w:before="0" w:after="0" w:line="240" w:lineRule="auto"/>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Arts and Media</w:t>
            </w:r>
          </w:p>
        </w:tc>
        <w:tc>
          <w:tcPr>
            <w:tcW w:w="592" w:type="pct"/>
            <w:tcBorders>
              <w:top w:val="single" w:color="auto" w:sz="4" w:space="0"/>
            </w:tcBorders>
            <w:shd w:val="clear" w:color="auto" w:fill="auto"/>
            <w:noWrap/>
            <w:vAlign w:val="bottom"/>
            <w:hideMark/>
          </w:tcPr>
          <w:p w:rsidRPr="008B2B47" w:rsidR="008B2B47" w:rsidP="008B2B47" w:rsidRDefault="008B2B47" w14:paraId="60C6EC8D"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10.73%</w:t>
            </w:r>
          </w:p>
        </w:tc>
        <w:tc>
          <w:tcPr>
            <w:tcW w:w="592" w:type="pct"/>
            <w:tcBorders>
              <w:top w:val="single" w:color="auto" w:sz="4" w:space="0"/>
            </w:tcBorders>
            <w:shd w:val="clear" w:color="auto" w:fill="auto"/>
            <w:noWrap/>
            <w:vAlign w:val="bottom"/>
            <w:hideMark/>
          </w:tcPr>
          <w:p w:rsidRPr="008B2B47" w:rsidR="008B2B47" w:rsidP="008B2B47" w:rsidRDefault="008B2B47" w14:paraId="4A6DDA94"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13.99%</w:t>
            </w:r>
          </w:p>
        </w:tc>
        <w:tc>
          <w:tcPr>
            <w:tcW w:w="592" w:type="pct"/>
            <w:tcBorders>
              <w:top w:val="single" w:color="auto" w:sz="4" w:space="0"/>
            </w:tcBorders>
            <w:shd w:val="clear" w:color="auto" w:fill="auto"/>
            <w:noWrap/>
            <w:vAlign w:val="bottom"/>
            <w:hideMark/>
          </w:tcPr>
          <w:p w:rsidRPr="008B2B47" w:rsidR="008B2B47" w:rsidP="008B2B47" w:rsidRDefault="008B2B47" w14:paraId="7367352E"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10.77%</w:t>
            </w:r>
          </w:p>
        </w:tc>
        <w:tc>
          <w:tcPr>
            <w:tcW w:w="592" w:type="pct"/>
            <w:tcBorders>
              <w:top w:val="single" w:color="auto" w:sz="4" w:space="0"/>
            </w:tcBorders>
            <w:shd w:val="clear" w:color="auto" w:fill="auto"/>
            <w:noWrap/>
            <w:vAlign w:val="bottom"/>
            <w:hideMark/>
          </w:tcPr>
          <w:p w:rsidRPr="008B2B47" w:rsidR="008B2B47" w:rsidP="008B2B47" w:rsidRDefault="008B2B47" w14:paraId="5970289C"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11.25%</w:t>
            </w:r>
          </w:p>
        </w:tc>
        <w:tc>
          <w:tcPr>
            <w:tcW w:w="368" w:type="pct"/>
            <w:tcBorders>
              <w:top w:val="single" w:color="auto" w:sz="4" w:space="0"/>
            </w:tcBorders>
            <w:shd w:val="clear" w:color="auto" w:fill="auto"/>
            <w:noWrap/>
            <w:vAlign w:val="bottom"/>
            <w:hideMark/>
          </w:tcPr>
          <w:p w:rsidRPr="008B2B47" w:rsidR="008B2B47" w:rsidP="008B2B47" w:rsidRDefault="008B2B47" w14:paraId="3ED2CF19"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112</w:t>
            </w:r>
          </w:p>
        </w:tc>
      </w:tr>
      <w:tr w:rsidRPr="008B2B47" w:rsidR="008B2B47" w:rsidTr="003F7A51" w14:paraId="3E376ED9" w14:textId="77777777">
        <w:trPr>
          <w:trHeight w:val="288"/>
        </w:trPr>
        <w:tc>
          <w:tcPr>
            <w:tcW w:w="2264" w:type="pct"/>
            <w:shd w:val="clear" w:color="auto" w:fill="auto"/>
            <w:noWrap/>
            <w:vAlign w:val="bottom"/>
            <w:hideMark/>
          </w:tcPr>
          <w:p w:rsidRPr="008B2B47" w:rsidR="008B2B47" w:rsidP="008B2B47" w:rsidRDefault="008B2B47" w14:paraId="4FDC7A5C" w14:textId="77777777">
            <w:pPr>
              <w:spacing w:before="0" w:after="0" w:line="240" w:lineRule="auto"/>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Business Administration</w:t>
            </w:r>
          </w:p>
        </w:tc>
        <w:tc>
          <w:tcPr>
            <w:tcW w:w="592" w:type="pct"/>
            <w:shd w:val="clear" w:color="auto" w:fill="auto"/>
            <w:noWrap/>
            <w:vAlign w:val="bottom"/>
            <w:hideMark/>
          </w:tcPr>
          <w:p w:rsidRPr="008B2B47" w:rsidR="008B2B47" w:rsidP="008B2B47" w:rsidRDefault="008B2B47" w14:paraId="584F0239"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16.21%</w:t>
            </w:r>
          </w:p>
        </w:tc>
        <w:tc>
          <w:tcPr>
            <w:tcW w:w="592" w:type="pct"/>
            <w:shd w:val="clear" w:color="auto" w:fill="auto"/>
            <w:noWrap/>
            <w:vAlign w:val="bottom"/>
            <w:hideMark/>
          </w:tcPr>
          <w:p w:rsidRPr="008B2B47" w:rsidR="008B2B47" w:rsidP="008B2B47" w:rsidRDefault="008B2B47" w14:paraId="6A1526A3"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15.23%</w:t>
            </w:r>
          </w:p>
        </w:tc>
        <w:tc>
          <w:tcPr>
            <w:tcW w:w="592" w:type="pct"/>
            <w:shd w:val="clear" w:color="auto" w:fill="auto"/>
            <w:noWrap/>
            <w:vAlign w:val="bottom"/>
            <w:hideMark/>
          </w:tcPr>
          <w:p w:rsidRPr="008B2B47" w:rsidR="008B2B47" w:rsidP="008B2B47" w:rsidRDefault="008B2B47" w14:paraId="48782490"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11.90%</w:t>
            </w:r>
          </w:p>
        </w:tc>
        <w:tc>
          <w:tcPr>
            <w:tcW w:w="592" w:type="pct"/>
            <w:shd w:val="clear" w:color="auto" w:fill="auto"/>
            <w:noWrap/>
            <w:vAlign w:val="bottom"/>
            <w:hideMark/>
          </w:tcPr>
          <w:p w:rsidRPr="008B2B47" w:rsidR="008B2B47" w:rsidP="008B2B47" w:rsidRDefault="008B2B47" w14:paraId="441F90FD"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11.31%</w:t>
            </w:r>
          </w:p>
        </w:tc>
        <w:tc>
          <w:tcPr>
            <w:tcW w:w="368" w:type="pct"/>
            <w:shd w:val="clear" w:color="auto" w:fill="auto"/>
            <w:noWrap/>
            <w:vAlign w:val="bottom"/>
            <w:hideMark/>
          </w:tcPr>
          <w:p w:rsidRPr="008B2B47" w:rsidR="008B2B47" w:rsidP="008B2B47" w:rsidRDefault="008B2B47" w14:paraId="0A0A0A3D"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191</w:t>
            </w:r>
          </w:p>
        </w:tc>
      </w:tr>
      <w:tr w:rsidRPr="008B2B47" w:rsidR="008B2B47" w:rsidTr="003F7A51" w14:paraId="4D56075E" w14:textId="77777777">
        <w:trPr>
          <w:trHeight w:val="288"/>
        </w:trPr>
        <w:tc>
          <w:tcPr>
            <w:tcW w:w="2264" w:type="pct"/>
            <w:shd w:val="clear" w:color="auto" w:fill="auto"/>
            <w:noWrap/>
            <w:vAlign w:val="bottom"/>
            <w:hideMark/>
          </w:tcPr>
          <w:p w:rsidRPr="008B2B47" w:rsidR="008B2B47" w:rsidP="008B2B47" w:rsidRDefault="008B2B47" w14:paraId="6FA44682" w14:textId="77777777">
            <w:pPr>
              <w:spacing w:before="0" w:after="0" w:line="240" w:lineRule="auto"/>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Criminal Justice</w:t>
            </w:r>
          </w:p>
        </w:tc>
        <w:tc>
          <w:tcPr>
            <w:tcW w:w="592" w:type="pct"/>
            <w:shd w:val="clear" w:color="auto" w:fill="auto"/>
            <w:noWrap/>
            <w:vAlign w:val="bottom"/>
            <w:hideMark/>
          </w:tcPr>
          <w:p w:rsidRPr="008B2B47" w:rsidR="008B2B47" w:rsidP="008B2B47" w:rsidRDefault="008B2B47" w14:paraId="0C31D49A"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10.23%</w:t>
            </w:r>
          </w:p>
        </w:tc>
        <w:tc>
          <w:tcPr>
            <w:tcW w:w="592" w:type="pct"/>
            <w:shd w:val="clear" w:color="auto" w:fill="auto"/>
            <w:noWrap/>
            <w:vAlign w:val="bottom"/>
            <w:hideMark/>
          </w:tcPr>
          <w:p w:rsidRPr="008B2B47" w:rsidR="008B2B47" w:rsidP="008B2B47" w:rsidRDefault="008B2B47" w14:paraId="6EB5D6A8"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11.17%</w:t>
            </w:r>
          </w:p>
        </w:tc>
        <w:tc>
          <w:tcPr>
            <w:tcW w:w="592" w:type="pct"/>
            <w:shd w:val="clear" w:color="auto" w:fill="auto"/>
            <w:noWrap/>
            <w:vAlign w:val="bottom"/>
            <w:hideMark/>
          </w:tcPr>
          <w:p w:rsidRPr="008B2B47" w:rsidR="008B2B47" w:rsidP="008B2B47" w:rsidRDefault="008B2B47" w14:paraId="50F8EC82"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3.28%</w:t>
            </w:r>
          </w:p>
        </w:tc>
        <w:tc>
          <w:tcPr>
            <w:tcW w:w="592" w:type="pct"/>
            <w:shd w:val="clear" w:color="auto" w:fill="auto"/>
            <w:noWrap/>
            <w:vAlign w:val="bottom"/>
            <w:hideMark/>
          </w:tcPr>
          <w:p w:rsidRPr="008B2B47" w:rsidR="008B2B47" w:rsidP="008B2B47" w:rsidRDefault="008B2B47" w14:paraId="78960C44"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5.54%</w:t>
            </w:r>
          </w:p>
        </w:tc>
        <w:tc>
          <w:tcPr>
            <w:tcW w:w="368" w:type="pct"/>
            <w:shd w:val="clear" w:color="auto" w:fill="auto"/>
            <w:noWrap/>
            <w:vAlign w:val="bottom"/>
            <w:hideMark/>
          </w:tcPr>
          <w:p w:rsidRPr="008B2B47" w:rsidR="008B2B47" w:rsidP="008B2B47" w:rsidRDefault="008B2B47" w14:paraId="2F619320"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117</w:t>
            </w:r>
          </w:p>
        </w:tc>
      </w:tr>
      <w:tr w:rsidRPr="008B2B47" w:rsidR="008B2B47" w:rsidTr="003F7A51" w14:paraId="20CED4C5" w14:textId="77777777">
        <w:trPr>
          <w:trHeight w:val="288"/>
        </w:trPr>
        <w:tc>
          <w:tcPr>
            <w:tcW w:w="2264" w:type="pct"/>
            <w:shd w:val="clear" w:color="auto" w:fill="auto"/>
            <w:noWrap/>
            <w:vAlign w:val="bottom"/>
            <w:hideMark/>
          </w:tcPr>
          <w:p w:rsidRPr="008B2B47" w:rsidR="008B2B47" w:rsidP="008B2B47" w:rsidRDefault="008B2B47" w14:paraId="78658BB1" w14:textId="77777777">
            <w:pPr>
              <w:spacing w:before="0" w:after="0" w:line="240" w:lineRule="auto"/>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Education</w:t>
            </w:r>
          </w:p>
        </w:tc>
        <w:tc>
          <w:tcPr>
            <w:tcW w:w="592" w:type="pct"/>
            <w:shd w:val="clear" w:color="auto" w:fill="auto"/>
            <w:noWrap/>
            <w:vAlign w:val="bottom"/>
            <w:hideMark/>
          </w:tcPr>
          <w:p w:rsidRPr="008B2B47" w:rsidR="008B2B47" w:rsidP="008B2B47" w:rsidRDefault="008B2B47" w14:paraId="6AAD10BD"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3.55%</w:t>
            </w:r>
          </w:p>
        </w:tc>
        <w:tc>
          <w:tcPr>
            <w:tcW w:w="592" w:type="pct"/>
            <w:shd w:val="clear" w:color="auto" w:fill="auto"/>
            <w:noWrap/>
            <w:vAlign w:val="bottom"/>
            <w:hideMark/>
          </w:tcPr>
          <w:p w:rsidRPr="008B2B47" w:rsidR="008B2B47" w:rsidP="008B2B47" w:rsidRDefault="008B2B47" w14:paraId="0C682437"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6.59%</w:t>
            </w:r>
          </w:p>
        </w:tc>
        <w:tc>
          <w:tcPr>
            <w:tcW w:w="592" w:type="pct"/>
            <w:shd w:val="clear" w:color="auto" w:fill="auto"/>
            <w:noWrap/>
            <w:vAlign w:val="bottom"/>
            <w:hideMark/>
          </w:tcPr>
          <w:p w:rsidRPr="008B2B47" w:rsidR="008B2B47" w:rsidP="008B2B47" w:rsidRDefault="008B2B47" w14:paraId="124207A2"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2.56%</w:t>
            </w:r>
          </w:p>
        </w:tc>
        <w:tc>
          <w:tcPr>
            <w:tcW w:w="592" w:type="pct"/>
            <w:shd w:val="clear" w:color="auto" w:fill="auto"/>
            <w:noWrap/>
            <w:vAlign w:val="bottom"/>
            <w:hideMark/>
          </w:tcPr>
          <w:p w:rsidRPr="008B2B47" w:rsidR="008B2B47" w:rsidP="008B2B47" w:rsidRDefault="008B2B47" w14:paraId="0A2B876E"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5.46%</w:t>
            </w:r>
          </w:p>
        </w:tc>
        <w:tc>
          <w:tcPr>
            <w:tcW w:w="368" w:type="pct"/>
            <w:shd w:val="clear" w:color="auto" w:fill="auto"/>
            <w:noWrap/>
            <w:vAlign w:val="bottom"/>
            <w:hideMark/>
          </w:tcPr>
          <w:p w:rsidRPr="008B2B47" w:rsidR="008B2B47" w:rsidP="008B2B47" w:rsidRDefault="008B2B47" w14:paraId="42F73591"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208</w:t>
            </w:r>
          </w:p>
        </w:tc>
      </w:tr>
      <w:tr w:rsidRPr="008B2B47" w:rsidR="008B2B47" w:rsidTr="003F7A51" w14:paraId="562EAC14" w14:textId="77777777">
        <w:trPr>
          <w:trHeight w:val="288"/>
        </w:trPr>
        <w:tc>
          <w:tcPr>
            <w:tcW w:w="2264" w:type="pct"/>
            <w:shd w:val="clear" w:color="auto" w:fill="auto"/>
            <w:noWrap/>
            <w:vAlign w:val="bottom"/>
            <w:hideMark/>
          </w:tcPr>
          <w:p w:rsidRPr="008B2B47" w:rsidR="008B2B47" w:rsidP="008B2B47" w:rsidRDefault="008B2B47" w14:paraId="39C53BEB" w14:textId="77777777">
            <w:pPr>
              <w:spacing w:before="0" w:after="0" w:line="240" w:lineRule="auto"/>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Health Sciences</w:t>
            </w:r>
          </w:p>
        </w:tc>
        <w:tc>
          <w:tcPr>
            <w:tcW w:w="592" w:type="pct"/>
            <w:shd w:val="clear" w:color="auto" w:fill="auto"/>
            <w:noWrap/>
            <w:vAlign w:val="bottom"/>
            <w:hideMark/>
          </w:tcPr>
          <w:p w:rsidRPr="008B2B47" w:rsidR="008B2B47" w:rsidP="008B2B47" w:rsidRDefault="008B2B47" w14:paraId="5E98829B"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8.65%</w:t>
            </w:r>
          </w:p>
        </w:tc>
        <w:tc>
          <w:tcPr>
            <w:tcW w:w="592" w:type="pct"/>
            <w:shd w:val="clear" w:color="auto" w:fill="auto"/>
            <w:noWrap/>
            <w:vAlign w:val="bottom"/>
            <w:hideMark/>
          </w:tcPr>
          <w:p w:rsidRPr="008B2B47" w:rsidR="008B2B47" w:rsidP="008B2B47" w:rsidRDefault="008B2B47" w14:paraId="1BD76527"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9.17%</w:t>
            </w:r>
          </w:p>
        </w:tc>
        <w:tc>
          <w:tcPr>
            <w:tcW w:w="592" w:type="pct"/>
            <w:shd w:val="clear" w:color="auto" w:fill="auto"/>
            <w:noWrap/>
            <w:vAlign w:val="bottom"/>
            <w:hideMark/>
          </w:tcPr>
          <w:p w:rsidRPr="008B2B47" w:rsidR="008B2B47" w:rsidP="008B2B47" w:rsidRDefault="008B2B47" w14:paraId="315051C6"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6.71%</w:t>
            </w:r>
          </w:p>
        </w:tc>
        <w:tc>
          <w:tcPr>
            <w:tcW w:w="592" w:type="pct"/>
            <w:shd w:val="clear" w:color="auto" w:fill="auto"/>
            <w:noWrap/>
            <w:vAlign w:val="bottom"/>
            <w:hideMark/>
          </w:tcPr>
          <w:p w:rsidRPr="008B2B47" w:rsidR="008B2B47" w:rsidP="008B2B47" w:rsidRDefault="008B2B47" w14:paraId="715DF324"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8.12%</w:t>
            </w:r>
          </w:p>
        </w:tc>
        <w:tc>
          <w:tcPr>
            <w:tcW w:w="368" w:type="pct"/>
            <w:shd w:val="clear" w:color="auto" w:fill="auto"/>
            <w:noWrap/>
            <w:vAlign w:val="bottom"/>
            <w:hideMark/>
          </w:tcPr>
          <w:p w:rsidRPr="008B2B47" w:rsidR="008B2B47" w:rsidP="008B2B47" w:rsidRDefault="008B2B47" w14:paraId="3C45A098"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117</w:t>
            </w:r>
          </w:p>
        </w:tc>
      </w:tr>
      <w:tr w:rsidRPr="008B2B47" w:rsidR="008B2B47" w:rsidTr="003F7A51" w14:paraId="2EB4822B" w14:textId="77777777">
        <w:trPr>
          <w:trHeight w:val="288"/>
        </w:trPr>
        <w:tc>
          <w:tcPr>
            <w:tcW w:w="2264" w:type="pct"/>
            <w:shd w:val="clear" w:color="auto" w:fill="auto"/>
            <w:noWrap/>
            <w:vAlign w:val="bottom"/>
            <w:hideMark/>
          </w:tcPr>
          <w:p w:rsidRPr="008B2B47" w:rsidR="008B2B47" w:rsidP="008B2B47" w:rsidRDefault="008B2B47" w14:paraId="578C5255" w14:textId="77777777">
            <w:pPr>
              <w:spacing w:before="0" w:after="0" w:line="240" w:lineRule="auto"/>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Humanities and Social Sciences</w:t>
            </w:r>
          </w:p>
        </w:tc>
        <w:tc>
          <w:tcPr>
            <w:tcW w:w="592" w:type="pct"/>
            <w:shd w:val="clear" w:color="auto" w:fill="auto"/>
            <w:noWrap/>
            <w:vAlign w:val="bottom"/>
            <w:hideMark/>
          </w:tcPr>
          <w:p w:rsidRPr="008B2B47" w:rsidR="008B2B47" w:rsidP="008B2B47" w:rsidRDefault="008B2B47" w14:paraId="3D3F6344"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17.20%</w:t>
            </w:r>
          </w:p>
        </w:tc>
        <w:tc>
          <w:tcPr>
            <w:tcW w:w="592" w:type="pct"/>
            <w:shd w:val="clear" w:color="auto" w:fill="auto"/>
            <w:noWrap/>
            <w:vAlign w:val="bottom"/>
            <w:hideMark/>
          </w:tcPr>
          <w:p w:rsidRPr="008B2B47" w:rsidR="008B2B47" w:rsidP="008B2B47" w:rsidRDefault="008B2B47" w14:paraId="43D0001E"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14.91%</w:t>
            </w:r>
          </w:p>
        </w:tc>
        <w:tc>
          <w:tcPr>
            <w:tcW w:w="592" w:type="pct"/>
            <w:shd w:val="clear" w:color="auto" w:fill="auto"/>
            <w:noWrap/>
            <w:vAlign w:val="bottom"/>
            <w:hideMark/>
          </w:tcPr>
          <w:p w:rsidRPr="008B2B47" w:rsidR="008B2B47" w:rsidP="008B2B47" w:rsidRDefault="008B2B47" w14:paraId="1DA165A1"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14.72%</w:t>
            </w:r>
          </w:p>
        </w:tc>
        <w:tc>
          <w:tcPr>
            <w:tcW w:w="592" w:type="pct"/>
            <w:shd w:val="clear" w:color="auto" w:fill="auto"/>
            <w:noWrap/>
            <w:vAlign w:val="bottom"/>
            <w:hideMark/>
          </w:tcPr>
          <w:p w:rsidRPr="008B2B47" w:rsidR="008B2B47" w:rsidP="008B2B47" w:rsidRDefault="008B2B47" w14:paraId="53C48616"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13.11%</w:t>
            </w:r>
          </w:p>
        </w:tc>
        <w:tc>
          <w:tcPr>
            <w:tcW w:w="368" w:type="pct"/>
            <w:shd w:val="clear" w:color="auto" w:fill="auto"/>
            <w:noWrap/>
            <w:vAlign w:val="bottom"/>
            <w:hideMark/>
          </w:tcPr>
          <w:p w:rsidRPr="008B2B47" w:rsidR="008B2B47" w:rsidP="008B2B47" w:rsidRDefault="008B2B47" w14:paraId="3558E777"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505</w:t>
            </w:r>
          </w:p>
        </w:tc>
      </w:tr>
      <w:tr w:rsidRPr="008B2B47" w:rsidR="008B2B47" w:rsidTr="003F7A51" w14:paraId="4CC3E469" w14:textId="77777777">
        <w:trPr>
          <w:trHeight w:val="288"/>
        </w:trPr>
        <w:tc>
          <w:tcPr>
            <w:tcW w:w="2264" w:type="pct"/>
            <w:shd w:val="clear" w:color="auto" w:fill="auto"/>
            <w:noWrap/>
            <w:vAlign w:val="bottom"/>
            <w:hideMark/>
          </w:tcPr>
          <w:p w:rsidRPr="008B2B47" w:rsidR="008B2B47" w:rsidP="008B2B47" w:rsidRDefault="008B2B47" w14:paraId="5DF27F77" w14:textId="77777777">
            <w:pPr>
              <w:spacing w:before="0" w:after="0" w:line="240" w:lineRule="auto"/>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Science and Engineering Technology</w:t>
            </w:r>
          </w:p>
        </w:tc>
        <w:tc>
          <w:tcPr>
            <w:tcW w:w="592" w:type="pct"/>
            <w:shd w:val="clear" w:color="auto" w:fill="auto"/>
            <w:noWrap/>
            <w:vAlign w:val="bottom"/>
            <w:hideMark/>
          </w:tcPr>
          <w:p w:rsidRPr="008B2B47" w:rsidR="008B2B47" w:rsidP="008B2B47" w:rsidRDefault="008B2B47" w14:paraId="3B10DBE3"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25.31%</w:t>
            </w:r>
          </w:p>
        </w:tc>
        <w:tc>
          <w:tcPr>
            <w:tcW w:w="592" w:type="pct"/>
            <w:shd w:val="clear" w:color="auto" w:fill="auto"/>
            <w:noWrap/>
            <w:vAlign w:val="bottom"/>
            <w:hideMark/>
          </w:tcPr>
          <w:p w:rsidRPr="008B2B47" w:rsidR="008B2B47" w:rsidP="008B2B47" w:rsidRDefault="008B2B47" w14:paraId="10D05D46"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21.83%</w:t>
            </w:r>
          </w:p>
        </w:tc>
        <w:tc>
          <w:tcPr>
            <w:tcW w:w="592" w:type="pct"/>
            <w:shd w:val="clear" w:color="auto" w:fill="auto"/>
            <w:noWrap/>
            <w:vAlign w:val="bottom"/>
            <w:hideMark/>
          </w:tcPr>
          <w:p w:rsidRPr="008B2B47" w:rsidR="008B2B47" w:rsidP="008B2B47" w:rsidRDefault="008B2B47" w14:paraId="2496F6AF"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22.55%</w:t>
            </w:r>
          </w:p>
        </w:tc>
        <w:tc>
          <w:tcPr>
            <w:tcW w:w="592" w:type="pct"/>
            <w:shd w:val="clear" w:color="auto" w:fill="auto"/>
            <w:noWrap/>
            <w:vAlign w:val="bottom"/>
            <w:hideMark/>
          </w:tcPr>
          <w:p w:rsidRPr="008B2B47" w:rsidR="008B2B47" w:rsidP="008B2B47" w:rsidRDefault="008B2B47" w14:paraId="4E827083"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19.98%</w:t>
            </w:r>
          </w:p>
        </w:tc>
        <w:tc>
          <w:tcPr>
            <w:tcW w:w="368" w:type="pct"/>
            <w:shd w:val="clear" w:color="auto" w:fill="auto"/>
            <w:noWrap/>
            <w:vAlign w:val="bottom"/>
            <w:hideMark/>
          </w:tcPr>
          <w:p w:rsidRPr="008B2B47" w:rsidR="008B2B47" w:rsidP="008B2B47" w:rsidRDefault="008B2B47" w14:paraId="7D2342BA" w14:textId="77777777">
            <w:pPr>
              <w:spacing w:before="0" w:after="0" w:line="240" w:lineRule="auto"/>
              <w:jc w:val="right"/>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374</w:t>
            </w:r>
          </w:p>
        </w:tc>
      </w:tr>
    </w:tbl>
    <w:p w:rsidR="00077EF6" w:rsidP="008B79F9" w:rsidRDefault="00077EF6" w14:paraId="2118D546" w14:textId="77777777">
      <w:pPr>
        <w:pStyle w:val="NoSpacing"/>
        <w:rPr>
          <w:sz w:val="24"/>
          <w:szCs w:val="24"/>
        </w:rPr>
      </w:pPr>
    </w:p>
    <w:p w:rsidRPr="003C42E4" w:rsidR="008B79F9" w:rsidP="008B79F9" w:rsidRDefault="008B79F9" w14:paraId="4DA1ECCC" w14:textId="06D02063">
      <w:pPr>
        <w:pStyle w:val="NoSpacing"/>
        <w:rPr>
          <w:sz w:val="24"/>
          <w:szCs w:val="24"/>
        </w:rPr>
      </w:pPr>
      <w:r w:rsidRPr="003C42E4">
        <w:rPr>
          <w:sz w:val="24"/>
          <w:szCs w:val="24"/>
        </w:rPr>
        <w:t xml:space="preserve">Table </w:t>
      </w:r>
      <w:r w:rsidR="00FF3E21">
        <w:rPr>
          <w:sz w:val="24"/>
          <w:szCs w:val="24"/>
        </w:rPr>
        <w:t>6</w:t>
      </w:r>
    </w:p>
    <w:p w:rsidRPr="00B27EFB" w:rsidR="008B79F9" w:rsidP="008B79F9" w:rsidRDefault="008B79F9" w14:paraId="58063788" w14:textId="147378FC">
      <w:pPr>
        <w:pStyle w:val="NoSpacing"/>
        <w:rPr>
          <w:i/>
          <w:iCs/>
          <w:sz w:val="24"/>
          <w:szCs w:val="24"/>
        </w:rPr>
      </w:pPr>
      <w:r>
        <w:rPr>
          <w:i/>
          <w:iCs/>
          <w:sz w:val="24"/>
          <w:szCs w:val="24"/>
        </w:rPr>
        <w:t>Excellent Teacher</w:t>
      </w:r>
      <w:r w:rsidRPr="003C42E4">
        <w:rPr>
          <w:i/>
          <w:iCs/>
          <w:sz w:val="24"/>
          <w:szCs w:val="24"/>
        </w:rPr>
        <w:t xml:space="preserve"> by College and </w:t>
      </w:r>
      <w:r>
        <w:rPr>
          <w:i/>
          <w:iCs/>
          <w:sz w:val="24"/>
          <w:szCs w:val="24"/>
        </w:rPr>
        <w:t>EE</w:t>
      </w:r>
      <w:r w:rsidRPr="003C42E4">
        <w:rPr>
          <w:i/>
          <w:iCs/>
          <w:sz w:val="24"/>
          <w:szCs w:val="24"/>
        </w:rPr>
        <w:t xml:space="preserve"> Participation</w:t>
      </w:r>
    </w:p>
    <w:tbl>
      <w:tblPr>
        <w:tblW w:w="5000" w:type="pct"/>
        <w:tblBorders>
          <w:top w:val="single" w:color="auto" w:sz="4" w:space="0"/>
          <w:bottom w:val="single" w:color="auto" w:sz="4" w:space="0"/>
        </w:tblBorders>
        <w:tblLook w:val="04A0" w:firstRow="1" w:lastRow="0" w:firstColumn="1" w:lastColumn="0" w:noHBand="0" w:noVBand="1"/>
      </w:tblPr>
      <w:tblGrid>
        <w:gridCol w:w="4239"/>
        <w:gridCol w:w="1108"/>
        <w:gridCol w:w="1108"/>
        <w:gridCol w:w="1108"/>
        <w:gridCol w:w="1108"/>
        <w:gridCol w:w="689"/>
      </w:tblGrid>
      <w:tr w:rsidRPr="008B2B47" w:rsidR="008B79F9" w:rsidTr="00482557" w14:paraId="4B673D6A" w14:textId="77777777">
        <w:trPr>
          <w:trHeight w:val="288"/>
        </w:trPr>
        <w:tc>
          <w:tcPr>
            <w:tcW w:w="2264" w:type="pct"/>
            <w:tcBorders>
              <w:bottom w:val="nil"/>
            </w:tcBorders>
            <w:shd w:val="clear" w:color="auto" w:fill="auto"/>
            <w:noWrap/>
            <w:vAlign w:val="bottom"/>
            <w:hideMark/>
          </w:tcPr>
          <w:p w:rsidRPr="008B2B47" w:rsidR="008B79F9" w:rsidP="00482557" w:rsidRDefault="008B79F9" w14:paraId="018D4C0E" w14:textId="77777777">
            <w:pPr>
              <w:spacing w:before="0" w:after="0" w:line="240" w:lineRule="auto"/>
              <w:rPr>
                <w:rFonts w:ascii="Times New Roman" w:hAnsi="Times New Roman" w:eastAsia="Times New Roman" w:cs="Times New Roman"/>
                <w:sz w:val="24"/>
                <w:szCs w:val="24"/>
              </w:rPr>
            </w:pPr>
          </w:p>
        </w:tc>
        <w:tc>
          <w:tcPr>
            <w:tcW w:w="592" w:type="pct"/>
            <w:tcBorders>
              <w:top w:val="single" w:color="auto" w:sz="4" w:space="0"/>
              <w:bottom w:val="single" w:color="auto" w:sz="4" w:space="0"/>
            </w:tcBorders>
            <w:shd w:val="clear" w:color="auto" w:fill="auto"/>
            <w:noWrap/>
            <w:vAlign w:val="bottom"/>
            <w:hideMark/>
          </w:tcPr>
          <w:p w:rsidRPr="008B2B47" w:rsidR="008B79F9" w:rsidP="00482557" w:rsidRDefault="008B79F9" w14:paraId="24AB5AED" w14:textId="77777777">
            <w:pPr>
              <w:spacing w:before="0" w:after="0" w:line="240" w:lineRule="auto"/>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Non-EE</w:t>
            </w:r>
          </w:p>
        </w:tc>
        <w:tc>
          <w:tcPr>
            <w:tcW w:w="592" w:type="pct"/>
            <w:tcBorders>
              <w:top w:val="single" w:color="auto" w:sz="4" w:space="0"/>
              <w:bottom w:val="single" w:color="auto" w:sz="4" w:space="0"/>
            </w:tcBorders>
            <w:shd w:val="clear" w:color="auto" w:fill="auto"/>
            <w:noWrap/>
            <w:vAlign w:val="bottom"/>
            <w:hideMark/>
          </w:tcPr>
          <w:p w:rsidRPr="008B2B47" w:rsidR="008B79F9" w:rsidP="00482557" w:rsidRDefault="008B79F9" w14:paraId="5CCC0585" w14:textId="77777777">
            <w:pPr>
              <w:spacing w:before="0" w:after="0" w:line="240" w:lineRule="auto"/>
              <w:rPr>
                <w:rFonts w:ascii="Aptos Narrow" w:hAnsi="Aptos Narrow" w:eastAsia="Times New Roman" w:cs="Times New Roman"/>
                <w:color w:val="000000"/>
                <w:sz w:val="24"/>
                <w:szCs w:val="24"/>
              </w:rPr>
            </w:pPr>
          </w:p>
        </w:tc>
        <w:tc>
          <w:tcPr>
            <w:tcW w:w="592" w:type="pct"/>
            <w:tcBorders>
              <w:top w:val="single" w:color="auto" w:sz="4" w:space="0"/>
              <w:bottom w:val="single" w:color="auto" w:sz="4" w:space="0"/>
            </w:tcBorders>
            <w:shd w:val="clear" w:color="auto" w:fill="auto"/>
            <w:noWrap/>
            <w:vAlign w:val="bottom"/>
            <w:hideMark/>
          </w:tcPr>
          <w:p w:rsidRPr="008B2B47" w:rsidR="008B79F9" w:rsidP="00482557" w:rsidRDefault="008B79F9" w14:paraId="19FCB957" w14:textId="77777777">
            <w:pPr>
              <w:spacing w:before="0" w:after="0" w:line="240" w:lineRule="auto"/>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EE</w:t>
            </w:r>
          </w:p>
        </w:tc>
        <w:tc>
          <w:tcPr>
            <w:tcW w:w="592" w:type="pct"/>
            <w:tcBorders>
              <w:top w:val="single" w:color="auto" w:sz="4" w:space="0"/>
              <w:bottom w:val="single" w:color="auto" w:sz="4" w:space="0"/>
            </w:tcBorders>
            <w:shd w:val="clear" w:color="auto" w:fill="auto"/>
            <w:noWrap/>
            <w:vAlign w:val="bottom"/>
            <w:hideMark/>
          </w:tcPr>
          <w:p w:rsidRPr="008B2B47" w:rsidR="008B79F9" w:rsidP="00482557" w:rsidRDefault="008B79F9" w14:paraId="0F5EFDB3" w14:textId="77777777">
            <w:pPr>
              <w:spacing w:before="0" w:after="0" w:line="240" w:lineRule="auto"/>
              <w:rPr>
                <w:rFonts w:ascii="Aptos Narrow" w:hAnsi="Aptos Narrow" w:eastAsia="Times New Roman" w:cs="Times New Roman"/>
                <w:color w:val="000000"/>
                <w:sz w:val="24"/>
                <w:szCs w:val="24"/>
              </w:rPr>
            </w:pPr>
          </w:p>
        </w:tc>
        <w:tc>
          <w:tcPr>
            <w:tcW w:w="368" w:type="pct"/>
            <w:tcBorders>
              <w:top w:val="single" w:color="auto" w:sz="4" w:space="0"/>
              <w:bottom w:val="single" w:color="auto" w:sz="4" w:space="0"/>
            </w:tcBorders>
            <w:shd w:val="clear" w:color="auto" w:fill="auto"/>
            <w:noWrap/>
            <w:vAlign w:val="bottom"/>
            <w:hideMark/>
          </w:tcPr>
          <w:p w:rsidRPr="008B2B47" w:rsidR="008B79F9" w:rsidP="00482557" w:rsidRDefault="008B79F9" w14:paraId="4A376D41" w14:textId="77777777">
            <w:pPr>
              <w:spacing w:before="0" w:after="0" w:line="240" w:lineRule="auto"/>
              <w:rPr>
                <w:rFonts w:ascii="Times New Roman" w:hAnsi="Times New Roman" w:eastAsia="Times New Roman" w:cs="Times New Roman"/>
                <w:sz w:val="24"/>
                <w:szCs w:val="24"/>
              </w:rPr>
            </w:pPr>
          </w:p>
        </w:tc>
      </w:tr>
      <w:tr w:rsidRPr="008B2B47" w:rsidR="008B79F9" w:rsidTr="00482557" w14:paraId="68F2CE9E" w14:textId="77777777">
        <w:trPr>
          <w:trHeight w:val="288"/>
        </w:trPr>
        <w:tc>
          <w:tcPr>
            <w:tcW w:w="2264" w:type="pct"/>
            <w:tcBorders>
              <w:top w:val="nil"/>
              <w:bottom w:val="single" w:color="auto" w:sz="4" w:space="0"/>
            </w:tcBorders>
            <w:shd w:val="clear" w:color="auto" w:fill="auto"/>
            <w:noWrap/>
            <w:vAlign w:val="bottom"/>
            <w:hideMark/>
          </w:tcPr>
          <w:p w:rsidRPr="008B2B47" w:rsidR="008B79F9" w:rsidP="00482557" w:rsidRDefault="008B79F9" w14:paraId="52ABED70" w14:textId="77777777">
            <w:pPr>
              <w:spacing w:before="0" w:after="0" w:line="240" w:lineRule="auto"/>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College</w:t>
            </w:r>
          </w:p>
        </w:tc>
        <w:tc>
          <w:tcPr>
            <w:tcW w:w="592" w:type="pct"/>
            <w:tcBorders>
              <w:top w:val="single" w:color="auto" w:sz="4" w:space="0"/>
              <w:bottom w:val="single" w:color="auto" w:sz="4" w:space="0"/>
            </w:tcBorders>
            <w:shd w:val="clear" w:color="auto" w:fill="auto"/>
            <w:noWrap/>
            <w:vAlign w:val="bottom"/>
            <w:hideMark/>
          </w:tcPr>
          <w:p w:rsidRPr="008B2B47" w:rsidR="008B79F9" w:rsidP="00482557" w:rsidRDefault="008B79F9" w14:paraId="28C0CB0A" w14:textId="77777777">
            <w:pPr>
              <w:spacing w:before="0" w:after="0" w:line="240" w:lineRule="auto"/>
              <w:rPr>
                <w:rFonts w:ascii="Aptos Narrow" w:hAnsi="Aptos Narrow" w:eastAsia="Times New Roman" w:cs="Times New Roman"/>
                <w:i/>
                <w:iCs/>
                <w:color w:val="000000"/>
                <w:sz w:val="24"/>
                <w:szCs w:val="24"/>
              </w:rPr>
            </w:pPr>
            <w:r w:rsidRPr="008B2B47">
              <w:rPr>
                <w:rFonts w:ascii="Aptos Narrow" w:hAnsi="Aptos Narrow" w:eastAsia="Times New Roman" w:cs="Times New Roman"/>
                <w:i/>
                <w:iCs/>
                <w:color w:val="000000"/>
                <w:sz w:val="24"/>
                <w:szCs w:val="24"/>
              </w:rPr>
              <w:t>M</w:t>
            </w:r>
          </w:p>
        </w:tc>
        <w:tc>
          <w:tcPr>
            <w:tcW w:w="592" w:type="pct"/>
            <w:tcBorders>
              <w:top w:val="single" w:color="auto" w:sz="4" w:space="0"/>
              <w:bottom w:val="single" w:color="auto" w:sz="4" w:space="0"/>
            </w:tcBorders>
            <w:shd w:val="clear" w:color="auto" w:fill="auto"/>
            <w:noWrap/>
            <w:vAlign w:val="bottom"/>
            <w:hideMark/>
          </w:tcPr>
          <w:p w:rsidRPr="008B2B47" w:rsidR="008B79F9" w:rsidP="00482557" w:rsidRDefault="008B79F9" w14:paraId="073A00F3" w14:textId="77777777">
            <w:pPr>
              <w:spacing w:before="0" w:after="0" w:line="240" w:lineRule="auto"/>
              <w:rPr>
                <w:rFonts w:ascii="Aptos Narrow" w:hAnsi="Aptos Narrow" w:eastAsia="Times New Roman" w:cs="Times New Roman"/>
                <w:i/>
                <w:iCs/>
                <w:color w:val="000000"/>
                <w:sz w:val="24"/>
                <w:szCs w:val="24"/>
              </w:rPr>
            </w:pPr>
            <w:r w:rsidRPr="008B2B47">
              <w:rPr>
                <w:rFonts w:ascii="Aptos Narrow" w:hAnsi="Aptos Narrow" w:eastAsia="Times New Roman" w:cs="Times New Roman"/>
                <w:i/>
                <w:iCs/>
                <w:color w:val="000000"/>
                <w:sz w:val="24"/>
                <w:szCs w:val="24"/>
              </w:rPr>
              <w:t>SD</w:t>
            </w:r>
          </w:p>
        </w:tc>
        <w:tc>
          <w:tcPr>
            <w:tcW w:w="592" w:type="pct"/>
            <w:tcBorders>
              <w:top w:val="single" w:color="auto" w:sz="4" w:space="0"/>
              <w:bottom w:val="single" w:color="auto" w:sz="4" w:space="0"/>
            </w:tcBorders>
            <w:shd w:val="clear" w:color="auto" w:fill="auto"/>
            <w:noWrap/>
            <w:vAlign w:val="bottom"/>
            <w:hideMark/>
          </w:tcPr>
          <w:p w:rsidRPr="008B2B47" w:rsidR="008B79F9" w:rsidP="00482557" w:rsidRDefault="008B79F9" w14:paraId="5743143C" w14:textId="77777777">
            <w:pPr>
              <w:spacing w:before="0" w:after="0" w:line="240" w:lineRule="auto"/>
              <w:rPr>
                <w:rFonts w:ascii="Aptos Narrow" w:hAnsi="Aptos Narrow" w:eastAsia="Times New Roman" w:cs="Times New Roman"/>
                <w:i/>
                <w:iCs/>
                <w:color w:val="000000"/>
                <w:sz w:val="24"/>
                <w:szCs w:val="24"/>
              </w:rPr>
            </w:pPr>
            <w:r w:rsidRPr="008B2B47">
              <w:rPr>
                <w:rFonts w:ascii="Aptos Narrow" w:hAnsi="Aptos Narrow" w:eastAsia="Times New Roman" w:cs="Times New Roman"/>
                <w:i/>
                <w:iCs/>
                <w:color w:val="000000"/>
                <w:sz w:val="24"/>
                <w:szCs w:val="24"/>
              </w:rPr>
              <w:t>M</w:t>
            </w:r>
          </w:p>
        </w:tc>
        <w:tc>
          <w:tcPr>
            <w:tcW w:w="592" w:type="pct"/>
            <w:tcBorders>
              <w:top w:val="single" w:color="auto" w:sz="4" w:space="0"/>
              <w:bottom w:val="single" w:color="auto" w:sz="4" w:space="0"/>
            </w:tcBorders>
            <w:shd w:val="clear" w:color="auto" w:fill="auto"/>
            <w:noWrap/>
            <w:vAlign w:val="bottom"/>
            <w:hideMark/>
          </w:tcPr>
          <w:p w:rsidRPr="008B2B47" w:rsidR="008B79F9" w:rsidP="00482557" w:rsidRDefault="008B79F9" w14:paraId="436C3736" w14:textId="77777777">
            <w:pPr>
              <w:spacing w:before="0" w:after="0" w:line="240" w:lineRule="auto"/>
              <w:rPr>
                <w:rFonts w:ascii="Aptos Narrow" w:hAnsi="Aptos Narrow" w:eastAsia="Times New Roman" w:cs="Times New Roman"/>
                <w:i/>
                <w:iCs/>
                <w:color w:val="000000"/>
                <w:sz w:val="24"/>
                <w:szCs w:val="24"/>
              </w:rPr>
            </w:pPr>
            <w:r w:rsidRPr="008B2B47">
              <w:rPr>
                <w:rFonts w:ascii="Aptos Narrow" w:hAnsi="Aptos Narrow" w:eastAsia="Times New Roman" w:cs="Times New Roman"/>
                <w:i/>
                <w:iCs/>
                <w:color w:val="000000"/>
                <w:sz w:val="24"/>
                <w:szCs w:val="24"/>
              </w:rPr>
              <w:t>SD</w:t>
            </w:r>
          </w:p>
        </w:tc>
        <w:tc>
          <w:tcPr>
            <w:tcW w:w="368" w:type="pct"/>
            <w:tcBorders>
              <w:top w:val="single" w:color="auto" w:sz="4" w:space="0"/>
              <w:bottom w:val="single" w:color="auto" w:sz="4" w:space="0"/>
            </w:tcBorders>
            <w:shd w:val="clear" w:color="auto" w:fill="auto"/>
            <w:noWrap/>
            <w:vAlign w:val="bottom"/>
            <w:hideMark/>
          </w:tcPr>
          <w:p w:rsidRPr="008B2B47" w:rsidR="008B79F9" w:rsidP="00482557" w:rsidRDefault="008B79F9" w14:paraId="298EDE4C" w14:textId="77777777">
            <w:pPr>
              <w:spacing w:before="0" w:after="0" w:line="240" w:lineRule="auto"/>
              <w:rPr>
                <w:rFonts w:ascii="Aptos Narrow" w:hAnsi="Aptos Narrow" w:eastAsia="Times New Roman" w:cs="Times New Roman"/>
                <w:i/>
                <w:iCs/>
                <w:color w:val="000000"/>
                <w:sz w:val="24"/>
                <w:szCs w:val="24"/>
              </w:rPr>
            </w:pPr>
            <w:r w:rsidRPr="008B2B47">
              <w:rPr>
                <w:rFonts w:ascii="Aptos Narrow" w:hAnsi="Aptos Narrow" w:eastAsia="Times New Roman" w:cs="Times New Roman"/>
                <w:i/>
                <w:iCs/>
                <w:color w:val="000000"/>
                <w:sz w:val="24"/>
                <w:szCs w:val="24"/>
              </w:rPr>
              <w:t>N</w:t>
            </w:r>
          </w:p>
        </w:tc>
      </w:tr>
      <w:tr w:rsidRPr="008B2B47" w:rsidR="000C216E" w:rsidTr="00482557" w14:paraId="79CDF41B" w14:textId="77777777">
        <w:trPr>
          <w:trHeight w:val="288"/>
        </w:trPr>
        <w:tc>
          <w:tcPr>
            <w:tcW w:w="2264" w:type="pct"/>
            <w:tcBorders>
              <w:top w:val="single" w:color="auto" w:sz="4" w:space="0"/>
            </w:tcBorders>
            <w:shd w:val="clear" w:color="auto" w:fill="auto"/>
            <w:noWrap/>
            <w:vAlign w:val="bottom"/>
            <w:hideMark/>
          </w:tcPr>
          <w:p w:rsidRPr="008B2B47" w:rsidR="000C216E" w:rsidP="000C216E" w:rsidRDefault="000C216E" w14:paraId="45ED6867" w14:textId="77777777">
            <w:pPr>
              <w:spacing w:before="0" w:after="0" w:line="240" w:lineRule="auto"/>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Arts and Media</w:t>
            </w:r>
          </w:p>
        </w:tc>
        <w:tc>
          <w:tcPr>
            <w:tcW w:w="592" w:type="pct"/>
            <w:tcBorders>
              <w:top w:val="single" w:color="auto" w:sz="4" w:space="0"/>
            </w:tcBorders>
            <w:shd w:val="clear" w:color="auto" w:fill="auto"/>
            <w:noWrap/>
            <w:vAlign w:val="bottom"/>
            <w:hideMark/>
          </w:tcPr>
          <w:p w:rsidRPr="008B2B47" w:rsidR="000C216E" w:rsidP="000C216E" w:rsidRDefault="000C216E" w14:paraId="3FCB0B90" w14:textId="75D9A61B">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4.4015</w:t>
            </w:r>
          </w:p>
        </w:tc>
        <w:tc>
          <w:tcPr>
            <w:tcW w:w="592" w:type="pct"/>
            <w:tcBorders>
              <w:top w:val="single" w:color="auto" w:sz="4" w:space="0"/>
            </w:tcBorders>
            <w:shd w:val="clear" w:color="auto" w:fill="auto"/>
            <w:noWrap/>
            <w:vAlign w:val="bottom"/>
            <w:hideMark/>
          </w:tcPr>
          <w:p w:rsidRPr="008B2B47" w:rsidR="000C216E" w:rsidP="000C216E" w:rsidRDefault="000C216E" w14:paraId="6B876C7A" w14:textId="05DA607C">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0.63441</w:t>
            </w:r>
          </w:p>
        </w:tc>
        <w:tc>
          <w:tcPr>
            <w:tcW w:w="592" w:type="pct"/>
            <w:tcBorders>
              <w:top w:val="single" w:color="auto" w:sz="4" w:space="0"/>
            </w:tcBorders>
            <w:shd w:val="clear" w:color="auto" w:fill="auto"/>
            <w:noWrap/>
            <w:vAlign w:val="bottom"/>
            <w:hideMark/>
          </w:tcPr>
          <w:p w:rsidRPr="008B2B47" w:rsidR="000C216E" w:rsidP="000C216E" w:rsidRDefault="000C216E" w14:paraId="45596401" w14:textId="0A21DE43">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4.4333</w:t>
            </w:r>
          </w:p>
        </w:tc>
        <w:tc>
          <w:tcPr>
            <w:tcW w:w="592" w:type="pct"/>
            <w:tcBorders>
              <w:top w:val="single" w:color="auto" w:sz="4" w:space="0"/>
            </w:tcBorders>
            <w:shd w:val="clear" w:color="auto" w:fill="auto"/>
            <w:noWrap/>
            <w:vAlign w:val="bottom"/>
            <w:hideMark/>
          </w:tcPr>
          <w:p w:rsidRPr="008B2B47" w:rsidR="000C216E" w:rsidP="000C216E" w:rsidRDefault="000C216E" w14:paraId="115E528F" w14:textId="6B222D46">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0.44182</w:t>
            </w:r>
          </w:p>
        </w:tc>
        <w:tc>
          <w:tcPr>
            <w:tcW w:w="368" w:type="pct"/>
            <w:tcBorders>
              <w:top w:val="single" w:color="auto" w:sz="4" w:space="0"/>
            </w:tcBorders>
            <w:shd w:val="clear" w:color="auto" w:fill="auto"/>
            <w:noWrap/>
            <w:vAlign w:val="bottom"/>
            <w:hideMark/>
          </w:tcPr>
          <w:p w:rsidRPr="008B2B47" w:rsidR="000C216E" w:rsidP="000C216E" w:rsidRDefault="000C216E" w14:paraId="6A91E368" w14:textId="5AD9BB91">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112</w:t>
            </w:r>
          </w:p>
        </w:tc>
      </w:tr>
      <w:tr w:rsidRPr="008B2B47" w:rsidR="000C216E" w:rsidTr="00482557" w14:paraId="6381D070" w14:textId="77777777">
        <w:trPr>
          <w:trHeight w:val="288"/>
        </w:trPr>
        <w:tc>
          <w:tcPr>
            <w:tcW w:w="2264" w:type="pct"/>
            <w:shd w:val="clear" w:color="auto" w:fill="auto"/>
            <w:noWrap/>
            <w:vAlign w:val="bottom"/>
            <w:hideMark/>
          </w:tcPr>
          <w:p w:rsidRPr="008B2B47" w:rsidR="000C216E" w:rsidP="000C216E" w:rsidRDefault="000C216E" w14:paraId="6D1A9C27" w14:textId="77777777">
            <w:pPr>
              <w:spacing w:before="0" w:after="0" w:line="240" w:lineRule="auto"/>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Business Administration</w:t>
            </w:r>
          </w:p>
        </w:tc>
        <w:tc>
          <w:tcPr>
            <w:tcW w:w="592" w:type="pct"/>
            <w:shd w:val="clear" w:color="auto" w:fill="auto"/>
            <w:noWrap/>
            <w:vAlign w:val="bottom"/>
            <w:hideMark/>
          </w:tcPr>
          <w:p w:rsidRPr="008B2B47" w:rsidR="000C216E" w:rsidP="000C216E" w:rsidRDefault="000C216E" w14:paraId="30E5772F" w14:textId="32B0C4DC">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4.3041</w:t>
            </w:r>
          </w:p>
        </w:tc>
        <w:tc>
          <w:tcPr>
            <w:tcW w:w="592" w:type="pct"/>
            <w:shd w:val="clear" w:color="auto" w:fill="auto"/>
            <w:noWrap/>
            <w:vAlign w:val="bottom"/>
            <w:hideMark/>
          </w:tcPr>
          <w:p w:rsidRPr="008B2B47" w:rsidR="000C216E" w:rsidP="000C216E" w:rsidRDefault="000C216E" w14:paraId="6E1A1904" w14:textId="4CCF4F80">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0.47272</w:t>
            </w:r>
          </w:p>
        </w:tc>
        <w:tc>
          <w:tcPr>
            <w:tcW w:w="592" w:type="pct"/>
            <w:shd w:val="clear" w:color="auto" w:fill="auto"/>
            <w:noWrap/>
            <w:vAlign w:val="bottom"/>
            <w:hideMark/>
          </w:tcPr>
          <w:p w:rsidRPr="008B2B47" w:rsidR="000C216E" w:rsidP="000C216E" w:rsidRDefault="000C216E" w14:paraId="7A3EB193" w14:textId="0501BEE7">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4.2926</w:t>
            </w:r>
          </w:p>
        </w:tc>
        <w:tc>
          <w:tcPr>
            <w:tcW w:w="592" w:type="pct"/>
            <w:shd w:val="clear" w:color="auto" w:fill="auto"/>
            <w:noWrap/>
            <w:vAlign w:val="bottom"/>
            <w:hideMark/>
          </w:tcPr>
          <w:p w:rsidRPr="008B2B47" w:rsidR="000C216E" w:rsidP="000C216E" w:rsidRDefault="000C216E" w14:paraId="522F4FCF" w14:textId="784A6E24">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0.57407</w:t>
            </w:r>
          </w:p>
        </w:tc>
        <w:tc>
          <w:tcPr>
            <w:tcW w:w="368" w:type="pct"/>
            <w:shd w:val="clear" w:color="auto" w:fill="auto"/>
            <w:noWrap/>
            <w:vAlign w:val="bottom"/>
            <w:hideMark/>
          </w:tcPr>
          <w:p w:rsidRPr="008B2B47" w:rsidR="000C216E" w:rsidP="000C216E" w:rsidRDefault="000C216E" w14:paraId="7C159854" w14:textId="20DB4864">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191</w:t>
            </w:r>
          </w:p>
        </w:tc>
      </w:tr>
      <w:tr w:rsidRPr="008B2B47" w:rsidR="000C216E" w:rsidTr="00482557" w14:paraId="1AF2F40B" w14:textId="77777777">
        <w:trPr>
          <w:trHeight w:val="288"/>
        </w:trPr>
        <w:tc>
          <w:tcPr>
            <w:tcW w:w="2264" w:type="pct"/>
            <w:shd w:val="clear" w:color="auto" w:fill="auto"/>
            <w:noWrap/>
            <w:vAlign w:val="bottom"/>
            <w:hideMark/>
          </w:tcPr>
          <w:p w:rsidRPr="008B2B47" w:rsidR="000C216E" w:rsidP="000C216E" w:rsidRDefault="000C216E" w14:paraId="062657B2" w14:textId="77777777">
            <w:pPr>
              <w:spacing w:before="0" w:after="0" w:line="240" w:lineRule="auto"/>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Criminal Justice</w:t>
            </w:r>
          </w:p>
        </w:tc>
        <w:tc>
          <w:tcPr>
            <w:tcW w:w="592" w:type="pct"/>
            <w:shd w:val="clear" w:color="auto" w:fill="auto"/>
            <w:noWrap/>
            <w:vAlign w:val="bottom"/>
            <w:hideMark/>
          </w:tcPr>
          <w:p w:rsidRPr="008B2B47" w:rsidR="000C216E" w:rsidP="000C216E" w:rsidRDefault="000C216E" w14:paraId="07FEF693" w14:textId="7C563FAA">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4.3507</w:t>
            </w:r>
          </w:p>
        </w:tc>
        <w:tc>
          <w:tcPr>
            <w:tcW w:w="592" w:type="pct"/>
            <w:shd w:val="clear" w:color="auto" w:fill="auto"/>
            <w:noWrap/>
            <w:vAlign w:val="bottom"/>
            <w:hideMark/>
          </w:tcPr>
          <w:p w:rsidRPr="008B2B47" w:rsidR="000C216E" w:rsidP="000C216E" w:rsidRDefault="000C216E" w14:paraId="5B460DA3" w14:textId="78E6975C">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0.74914</w:t>
            </w:r>
          </w:p>
        </w:tc>
        <w:tc>
          <w:tcPr>
            <w:tcW w:w="592" w:type="pct"/>
            <w:shd w:val="clear" w:color="auto" w:fill="auto"/>
            <w:noWrap/>
            <w:vAlign w:val="bottom"/>
            <w:hideMark/>
          </w:tcPr>
          <w:p w:rsidRPr="008B2B47" w:rsidR="000C216E" w:rsidP="000C216E" w:rsidRDefault="000C216E" w14:paraId="298614D0" w14:textId="3E71A026">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4.6139</w:t>
            </w:r>
          </w:p>
        </w:tc>
        <w:tc>
          <w:tcPr>
            <w:tcW w:w="592" w:type="pct"/>
            <w:shd w:val="clear" w:color="auto" w:fill="auto"/>
            <w:noWrap/>
            <w:vAlign w:val="bottom"/>
            <w:hideMark/>
          </w:tcPr>
          <w:p w:rsidRPr="008B2B47" w:rsidR="000C216E" w:rsidP="000C216E" w:rsidRDefault="000C216E" w14:paraId="17D926F0" w14:textId="7C6D4404">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0.46954</w:t>
            </w:r>
          </w:p>
        </w:tc>
        <w:tc>
          <w:tcPr>
            <w:tcW w:w="368" w:type="pct"/>
            <w:shd w:val="clear" w:color="auto" w:fill="auto"/>
            <w:noWrap/>
            <w:vAlign w:val="bottom"/>
            <w:hideMark/>
          </w:tcPr>
          <w:p w:rsidRPr="008B2B47" w:rsidR="000C216E" w:rsidP="000C216E" w:rsidRDefault="000C216E" w14:paraId="00B78195" w14:textId="09F9782B">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117</w:t>
            </w:r>
          </w:p>
        </w:tc>
      </w:tr>
      <w:tr w:rsidRPr="008B2B47" w:rsidR="000C216E" w:rsidTr="00482557" w14:paraId="5B551E41" w14:textId="77777777">
        <w:trPr>
          <w:trHeight w:val="288"/>
        </w:trPr>
        <w:tc>
          <w:tcPr>
            <w:tcW w:w="2264" w:type="pct"/>
            <w:shd w:val="clear" w:color="auto" w:fill="auto"/>
            <w:noWrap/>
            <w:vAlign w:val="bottom"/>
            <w:hideMark/>
          </w:tcPr>
          <w:p w:rsidRPr="008B2B47" w:rsidR="000C216E" w:rsidP="000C216E" w:rsidRDefault="000C216E" w14:paraId="75890556" w14:textId="77777777">
            <w:pPr>
              <w:spacing w:before="0" w:after="0" w:line="240" w:lineRule="auto"/>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Education</w:t>
            </w:r>
          </w:p>
        </w:tc>
        <w:tc>
          <w:tcPr>
            <w:tcW w:w="592" w:type="pct"/>
            <w:shd w:val="clear" w:color="auto" w:fill="auto"/>
            <w:noWrap/>
            <w:vAlign w:val="bottom"/>
            <w:hideMark/>
          </w:tcPr>
          <w:p w:rsidRPr="008B2B47" w:rsidR="000C216E" w:rsidP="000C216E" w:rsidRDefault="000C216E" w14:paraId="249EBA8E" w14:textId="52B25CFC">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4.4344</w:t>
            </w:r>
          </w:p>
        </w:tc>
        <w:tc>
          <w:tcPr>
            <w:tcW w:w="592" w:type="pct"/>
            <w:shd w:val="clear" w:color="auto" w:fill="auto"/>
            <w:noWrap/>
            <w:vAlign w:val="bottom"/>
            <w:hideMark/>
          </w:tcPr>
          <w:p w:rsidRPr="008B2B47" w:rsidR="000C216E" w:rsidP="000C216E" w:rsidRDefault="000C216E" w14:paraId="786790A8" w14:textId="43A2A005">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0.69246</w:t>
            </w:r>
          </w:p>
        </w:tc>
        <w:tc>
          <w:tcPr>
            <w:tcW w:w="592" w:type="pct"/>
            <w:shd w:val="clear" w:color="auto" w:fill="auto"/>
            <w:noWrap/>
            <w:vAlign w:val="bottom"/>
            <w:hideMark/>
          </w:tcPr>
          <w:p w:rsidRPr="008B2B47" w:rsidR="000C216E" w:rsidP="000C216E" w:rsidRDefault="000C216E" w14:paraId="38256A47" w14:textId="7E31D87C">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4.4565</w:t>
            </w:r>
          </w:p>
        </w:tc>
        <w:tc>
          <w:tcPr>
            <w:tcW w:w="592" w:type="pct"/>
            <w:shd w:val="clear" w:color="auto" w:fill="auto"/>
            <w:noWrap/>
            <w:vAlign w:val="bottom"/>
            <w:hideMark/>
          </w:tcPr>
          <w:p w:rsidRPr="008B2B47" w:rsidR="000C216E" w:rsidP="000C216E" w:rsidRDefault="000C216E" w14:paraId="0E6AF957" w14:textId="2F118461">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0.61967</w:t>
            </w:r>
          </w:p>
        </w:tc>
        <w:tc>
          <w:tcPr>
            <w:tcW w:w="368" w:type="pct"/>
            <w:shd w:val="clear" w:color="auto" w:fill="auto"/>
            <w:noWrap/>
            <w:vAlign w:val="bottom"/>
            <w:hideMark/>
          </w:tcPr>
          <w:p w:rsidRPr="008B2B47" w:rsidR="000C216E" w:rsidP="000C216E" w:rsidRDefault="000C216E" w14:paraId="38EC4663" w14:textId="641489FF">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208</w:t>
            </w:r>
          </w:p>
        </w:tc>
      </w:tr>
      <w:tr w:rsidRPr="008B2B47" w:rsidR="000C216E" w:rsidTr="00482557" w14:paraId="4A1D1636" w14:textId="77777777">
        <w:trPr>
          <w:trHeight w:val="288"/>
        </w:trPr>
        <w:tc>
          <w:tcPr>
            <w:tcW w:w="2264" w:type="pct"/>
            <w:shd w:val="clear" w:color="auto" w:fill="auto"/>
            <w:noWrap/>
            <w:vAlign w:val="bottom"/>
            <w:hideMark/>
          </w:tcPr>
          <w:p w:rsidRPr="008B2B47" w:rsidR="000C216E" w:rsidP="000C216E" w:rsidRDefault="000C216E" w14:paraId="6B7678BB" w14:textId="77777777">
            <w:pPr>
              <w:spacing w:before="0" w:after="0" w:line="240" w:lineRule="auto"/>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Health Sciences</w:t>
            </w:r>
          </w:p>
        </w:tc>
        <w:tc>
          <w:tcPr>
            <w:tcW w:w="592" w:type="pct"/>
            <w:shd w:val="clear" w:color="auto" w:fill="auto"/>
            <w:noWrap/>
            <w:vAlign w:val="bottom"/>
            <w:hideMark/>
          </w:tcPr>
          <w:p w:rsidRPr="008B2B47" w:rsidR="000C216E" w:rsidP="000C216E" w:rsidRDefault="000C216E" w14:paraId="3B0284F6" w14:textId="077B4209">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4.2709</w:t>
            </w:r>
          </w:p>
        </w:tc>
        <w:tc>
          <w:tcPr>
            <w:tcW w:w="592" w:type="pct"/>
            <w:shd w:val="clear" w:color="auto" w:fill="auto"/>
            <w:noWrap/>
            <w:vAlign w:val="bottom"/>
            <w:hideMark/>
          </w:tcPr>
          <w:p w:rsidRPr="008B2B47" w:rsidR="000C216E" w:rsidP="000C216E" w:rsidRDefault="000C216E" w14:paraId="6AB3A1EA" w14:textId="2405451D">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0.49032</w:t>
            </w:r>
          </w:p>
        </w:tc>
        <w:tc>
          <w:tcPr>
            <w:tcW w:w="592" w:type="pct"/>
            <w:shd w:val="clear" w:color="auto" w:fill="auto"/>
            <w:noWrap/>
            <w:vAlign w:val="bottom"/>
            <w:hideMark/>
          </w:tcPr>
          <w:p w:rsidRPr="008B2B47" w:rsidR="000C216E" w:rsidP="000C216E" w:rsidRDefault="000C216E" w14:paraId="085771F7" w14:textId="20BA2B14">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4.3842</w:t>
            </w:r>
          </w:p>
        </w:tc>
        <w:tc>
          <w:tcPr>
            <w:tcW w:w="592" w:type="pct"/>
            <w:shd w:val="clear" w:color="auto" w:fill="auto"/>
            <w:noWrap/>
            <w:vAlign w:val="bottom"/>
            <w:hideMark/>
          </w:tcPr>
          <w:p w:rsidRPr="008B2B47" w:rsidR="000C216E" w:rsidP="000C216E" w:rsidRDefault="000C216E" w14:paraId="1DBBD00C" w14:textId="7D05B9C3">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0.55574</w:t>
            </w:r>
          </w:p>
        </w:tc>
        <w:tc>
          <w:tcPr>
            <w:tcW w:w="368" w:type="pct"/>
            <w:shd w:val="clear" w:color="auto" w:fill="auto"/>
            <w:noWrap/>
            <w:vAlign w:val="bottom"/>
            <w:hideMark/>
          </w:tcPr>
          <w:p w:rsidRPr="008B2B47" w:rsidR="000C216E" w:rsidP="000C216E" w:rsidRDefault="000C216E" w14:paraId="4929227E" w14:textId="263F4125">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117</w:t>
            </w:r>
          </w:p>
        </w:tc>
      </w:tr>
      <w:tr w:rsidRPr="008B2B47" w:rsidR="000C216E" w:rsidTr="00482557" w14:paraId="33FBCDAC" w14:textId="77777777">
        <w:trPr>
          <w:trHeight w:val="288"/>
        </w:trPr>
        <w:tc>
          <w:tcPr>
            <w:tcW w:w="2264" w:type="pct"/>
            <w:shd w:val="clear" w:color="auto" w:fill="auto"/>
            <w:noWrap/>
            <w:vAlign w:val="bottom"/>
            <w:hideMark/>
          </w:tcPr>
          <w:p w:rsidRPr="008B2B47" w:rsidR="000C216E" w:rsidP="000C216E" w:rsidRDefault="000C216E" w14:paraId="58E9F8AC" w14:textId="77777777">
            <w:pPr>
              <w:spacing w:before="0" w:after="0" w:line="240" w:lineRule="auto"/>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Humanities and Social Sciences</w:t>
            </w:r>
          </w:p>
        </w:tc>
        <w:tc>
          <w:tcPr>
            <w:tcW w:w="592" w:type="pct"/>
            <w:shd w:val="clear" w:color="auto" w:fill="auto"/>
            <w:noWrap/>
            <w:vAlign w:val="bottom"/>
            <w:hideMark/>
          </w:tcPr>
          <w:p w:rsidRPr="008B2B47" w:rsidR="000C216E" w:rsidP="000C216E" w:rsidRDefault="000C216E" w14:paraId="22F5BD45" w14:textId="614C654A">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4.3856</w:t>
            </w:r>
          </w:p>
        </w:tc>
        <w:tc>
          <w:tcPr>
            <w:tcW w:w="592" w:type="pct"/>
            <w:shd w:val="clear" w:color="auto" w:fill="auto"/>
            <w:noWrap/>
            <w:vAlign w:val="bottom"/>
            <w:hideMark/>
          </w:tcPr>
          <w:p w:rsidRPr="008B2B47" w:rsidR="000C216E" w:rsidP="000C216E" w:rsidRDefault="000C216E" w14:paraId="486AD14A" w14:textId="29658C98">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0.61054</w:t>
            </w:r>
          </w:p>
        </w:tc>
        <w:tc>
          <w:tcPr>
            <w:tcW w:w="592" w:type="pct"/>
            <w:shd w:val="clear" w:color="auto" w:fill="auto"/>
            <w:noWrap/>
            <w:vAlign w:val="bottom"/>
            <w:hideMark/>
          </w:tcPr>
          <w:p w:rsidRPr="008B2B47" w:rsidR="000C216E" w:rsidP="000C216E" w:rsidRDefault="000C216E" w14:paraId="44EBD9D3" w14:textId="2A180700">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4.3643</w:t>
            </w:r>
          </w:p>
        </w:tc>
        <w:tc>
          <w:tcPr>
            <w:tcW w:w="592" w:type="pct"/>
            <w:shd w:val="clear" w:color="auto" w:fill="auto"/>
            <w:noWrap/>
            <w:vAlign w:val="bottom"/>
            <w:hideMark/>
          </w:tcPr>
          <w:p w:rsidRPr="008B2B47" w:rsidR="000C216E" w:rsidP="000C216E" w:rsidRDefault="000C216E" w14:paraId="27105A9B" w14:textId="55DAAE88">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0.5663</w:t>
            </w:r>
          </w:p>
        </w:tc>
        <w:tc>
          <w:tcPr>
            <w:tcW w:w="368" w:type="pct"/>
            <w:shd w:val="clear" w:color="auto" w:fill="auto"/>
            <w:noWrap/>
            <w:vAlign w:val="bottom"/>
            <w:hideMark/>
          </w:tcPr>
          <w:p w:rsidRPr="008B2B47" w:rsidR="000C216E" w:rsidP="000C216E" w:rsidRDefault="000C216E" w14:paraId="3970B5D0" w14:textId="14E1EF3B">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505</w:t>
            </w:r>
          </w:p>
        </w:tc>
      </w:tr>
      <w:tr w:rsidRPr="008B2B47" w:rsidR="000C216E" w:rsidTr="00482557" w14:paraId="7341C265" w14:textId="77777777">
        <w:trPr>
          <w:trHeight w:val="288"/>
        </w:trPr>
        <w:tc>
          <w:tcPr>
            <w:tcW w:w="2264" w:type="pct"/>
            <w:shd w:val="clear" w:color="auto" w:fill="auto"/>
            <w:noWrap/>
            <w:vAlign w:val="bottom"/>
            <w:hideMark/>
          </w:tcPr>
          <w:p w:rsidRPr="008B2B47" w:rsidR="000C216E" w:rsidP="000C216E" w:rsidRDefault="000C216E" w14:paraId="5E0E028B" w14:textId="77777777">
            <w:pPr>
              <w:spacing w:before="0" w:after="0" w:line="240" w:lineRule="auto"/>
              <w:rPr>
                <w:rFonts w:ascii="Aptos Narrow" w:hAnsi="Aptos Narrow" w:eastAsia="Times New Roman" w:cs="Times New Roman"/>
                <w:color w:val="000000"/>
                <w:sz w:val="24"/>
                <w:szCs w:val="24"/>
              </w:rPr>
            </w:pPr>
            <w:r w:rsidRPr="008B2B47">
              <w:rPr>
                <w:rFonts w:ascii="Aptos Narrow" w:hAnsi="Aptos Narrow" w:eastAsia="Times New Roman" w:cs="Times New Roman"/>
                <w:color w:val="000000"/>
                <w:sz w:val="24"/>
                <w:szCs w:val="24"/>
              </w:rPr>
              <w:t>Science and Engineering Technology</w:t>
            </w:r>
          </w:p>
        </w:tc>
        <w:tc>
          <w:tcPr>
            <w:tcW w:w="592" w:type="pct"/>
            <w:shd w:val="clear" w:color="auto" w:fill="auto"/>
            <w:noWrap/>
            <w:vAlign w:val="bottom"/>
            <w:hideMark/>
          </w:tcPr>
          <w:p w:rsidRPr="008B2B47" w:rsidR="000C216E" w:rsidP="000C216E" w:rsidRDefault="000C216E" w14:paraId="5A847E23" w14:textId="2919FC86">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4.0972</w:t>
            </w:r>
          </w:p>
        </w:tc>
        <w:tc>
          <w:tcPr>
            <w:tcW w:w="592" w:type="pct"/>
            <w:shd w:val="clear" w:color="auto" w:fill="auto"/>
            <w:noWrap/>
            <w:vAlign w:val="bottom"/>
            <w:hideMark/>
          </w:tcPr>
          <w:p w:rsidRPr="008B2B47" w:rsidR="000C216E" w:rsidP="000C216E" w:rsidRDefault="000C216E" w14:paraId="27E7F748" w14:textId="500C66F0">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0.75607</w:t>
            </w:r>
          </w:p>
        </w:tc>
        <w:tc>
          <w:tcPr>
            <w:tcW w:w="592" w:type="pct"/>
            <w:shd w:val="clear" w:color="auto" w:fill="auto"/>
            <w:noWrap/>
            <w:vAlign w:val="bottom"/>
            <w:hideMark/>
          </w:tcPr>
          <w:p w:rsidRPr="008B2B47" w:rsidR="000C216E" w:rsidP="000C216E" w:rsidRDefault="000C216E" w14:paraId="09065495" w14:textId="5818C759">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4.3092</w:t>
            </w:r>
          </w:p>
        </w:tc>
        <w:tc>
          <w:tcPr>
            <w:tcW w:w="592" w:type="pct"/>
            <w:shd w:val="clear" w:color="auto" w:fill="auto"/>
            <w:noWrap/>
            <w:vAlign w:val="bottom"/>
            <w:hideMark/>
          </w:tcPr>
          <w:p w:rsidRPr="008B2B47" w:rsidR="000C216E" w:rsidP="000C216E" w:rsidRDefault="000C216E" w14:paraId="52E7A049" w14:textId="48FBB74A">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0.6103</w:t>
            </w:r>
          </w:p>
        </w:tc>
        <w:tc>
          <w:tcPr>
            <w:tcW w:w="368" w:type="pct"/>
            <w:shd w:val="clear" w:color="auto" w:fill="auto"/>
            <w:noWrap/>
            <w:vAlign w:val="bottom"/>
            <w:hideMark/>
          </w:tcPr>
          <w:p w:rsidRPr="008B2B47" w:rsidR="000C216E" w:rsidP="000C216E" w:rsidRDefault="000C216E" w14:paraId="1AFCE74A" w14:textId="2ECAD7C6">
            <w:pPr>
              <w:spacing w:before="0" w:after="0" w:line="240" w:lineRule="auto"/>
              <w:jc w:val="right"/>
              <w:rPr>
                <w:rFonts w:ascii="Aptos Narrow" w:hAnsi="Aptos Narrow" w:eastAsia="Times New Roman" w:cs="Times New Roman"/>
                <w:color w:val="000000"/>
                <w:sz w:val="24"/>
                <w:szCs w:val="24"/>
              </w:rPr>
            </w:pPr>
            <w:r w:rsidRPr="00BF5661">
              <w:rPr>
                <w:rFonts w:ascii="Aptos Narrow" w:hAnsi="Aptos Narrow"/>
                <w:color w:val="000000"/>
                <w:sz w:val="24"/>
                <w:szCs w:val="24"/>
              </w:rPr>
              <w:t>374</w:t>
            </w:r>
          </w:p>
        </w:tc>
      </w:tr>
    </w:tbl>
    <w:p w:rsidR="00FD533B" w:rsidRDefault="00FD533B" w14:paraId="2B64773E" w14:textId="77777777">
      <w:pPr>
        <w:rPr>
          <w:sz w:val="24"/>
          <w:szCs w:val="24"/>
        </w:rPr>
      </w:pPr>
    </w:p>
    <w:p w:rsidRPr="003C42E4" w:rsidR="00997D30" w:rsidRDefault="00997D30" w14:paraId="14A918A7" w14:textId="5FD54A68">
      <w:pPr>
        <w:rPr>
          <w:sz w:val="24"/>
          <w:szCs w:val="24"/>
        </w:rPr>
      </w:pPr>
      <w:r w:rsidRPr="003C42E4">
        <w:rPr>
          <w:sz w:val="24"/>
          <w:szCs w:val="24"/>
        </w:rPr>
        <w:t xml:space="preserve">A multivariate analysis of variance (MANOVA) revealed several statistically significant effects. There was a significant multivariate effect for the intercept, </w:t>
      </w:r>
      <w:proofErr w:type="gramStart"/>
      <w:r w:rsidRPr="003C42E4">
        <w:rPr>
          <w:i/>
          <w:iCs/>
          <w:sz w:val="24"/>
          <w:szCs w:val="24"/>
        </w:rPr>
        <w:t>F</w:t>
      </w:r>
      <w:r w:rsidRPr="003C42E4">
        <w:rPr>
          <w:sz w:val="24"/>
          <w:szCs w:val="24"/>
        </w:rPr>
        <w:t>(</w:t>
      </w:r>
      <w:proofErr w:type="gramEnd"/>
      <w:r w:rsidRPr="003C42E4">
        <w:rPr>
          <w:sz w:val="24"/>
          <w:szCs w:val="24"/>
        </w:rPr>
        <w:t xml:space="preserve">2, 3228) = 58,099.92, </w:t>
      </w:r>
      <w:r w:rsidRPr="003C42E4">
        <w:rPr>
          <w:i/>
          <w:iCs/>
          <w:sz w:val="24"/>
          <w:szCs w:val="24"/>
        </w:rPr>
        <w:t>p</w:t>
      </w:r>
      <w:r w:rsidRPr="003C42E4">
        <w:rPr>
          <w:sz w:val="24"/>
          <w:szCs w:val="24"/>
        </w:rPr>
        <w:t xml:space="preserve"> &lt; .001, with a large effect size (partial η² = .973). </w:t>
      </w:r>
      <w:r w:rsidRPr="003C42E4" w:rsidR="00D86FE1">
        <w:rPr>
          <w:sz w:val="24"/>
          <w:szCs w:val="24"/>
        </w:rPr>
        <w:t>Engaging Explorations</w:t>
      </w:r>
      <w:r w:rsidRPr="003C42E4">
        <w:rPr>
          <w:sz w:val="24"/>
          <w:szCs w:val="24"/>
        </w:rPr>
        <w:t xml:space="preserve"> (EE) demonstrated a statistically significant effect, </w:t>
      </w:r>
      <w:proofErr w:type="gramStart"/>
      <w:r w:rsidRPr="003C42E4">
        <w:rPr>
          <w:i/>
          <w:iCs/>
          <w:sz w:val="24"/>
          <w:szCs w:val="24"/>
        </w:rPr>
        <w:t>F</w:t>
      </w:r>
      <w:r w:rsidRPr="003C42E4">
        <w:rPr>
          <w:sz w:val="24"/>
          <w:szCs w:val="24"/>
        </w:rPr>
        <w:t>(</w:t>
      </w:r>
      <w:proofErr w:type="gramEnd"/>
      <w:r w:rsidRPr="003C42E4">
        <w:rPr>
          <w:sz w:val="24"/>
          <w:szCs w:val="24"/>
        </w:rPr>
        <w:t xml:space="preserve">2, 3228) = 10.73, </w:t>
      </w:r>
      <w:r w:rsidRPr="003C42E4">
        <w:rPr>
          <w:i/>
          <w:iCs/>
          <w:sz w:val="24"/>
          <w:szCs w:val="24"/>
        </w:rPr>
        <w:t>p</w:t>
      </w:r>
      <w:r w:rsidRPr="003C42E4">
        <w:rPr>
          <w:sz w:val="24"/>
          <w:szCs w:val="24"/>
        </w:rPr>
        <w:t xml:space="preserve"> &lt; .001, although the effect size was small (partial η² = .007), with observed power of .99. A significant effect was also found for college affiliation, </w:t>
      </w:r>
      <w:proofErr w:type="gramStart"/>
      <w:r w:rsidRPr="003C42E4">
        <w:rPr>
          <w:i/>
          <w:iCs/>
          <w:sz w:val="24"/>
          <w:szCs w:val="24"/>
        </w:rPr>
        <w:t>F</w:t>
      </w:r>
      <w:r w:rsidRPr="003C42E4">
        <w:rPr>
          <w:sz w:val="24"/>
          <w:szCs w:val="24"/>
        </w:rPr>
        <w:t>(</w:t>
      </w:r>
      <w:proofErr w:type="gramEnd"/>
      <w:r w:rsidRPr="003C42E4">
        <w:rPr>
          <w:sz w:val="24"/>
          <w:szCs w:val="24"/>
        </w:rPr>
        <w:t xml:space="preserve">12, 6456) = 55.21, </w:t>
      </w:r>
      <w:r w:rsidRPr="003C42E4">
        <w:rPr>
          <w:i/>
          <w:iCs/>
          <w:sz w:val="24"/>
          <w:szCs w:val="24"/>
        </w:rPr>
        <w:t>p</w:t>
      </w:r>
      <w:r w:rsidRPr="003C42E4">
        <w:rPr>
          <w:sz w:val="24"/>
          <w:szCs w:val="24"/>
        </w:rPr>
        <w:t xml:space="preserve"> &lt; .001, with a moderate effect size (partial η² = .093) and observed power of 1. Additionally, the interaction between EE and college was statistically significant, </w:t>
      </w:r>
      <w:proofErr w:type="gramStart"/>
      <w:r w:rsidRPr="003C42E4">
        <w:rPr>
          <w:i/>
          <w:iCs/>
          <w:sz w:val="24"/>
          <w:szCs w:val="24"/>
        </w:rPr>
        <w:t>F</w:t>
      </w:r>
      <w:r w:rsidRPr="003C42E4">
        <w:rPr>
          <w:sz w:val="24"/>
          <w:szCs w:val="24"/>
        </w:rPr>
        <w:t>(</w:t>
      </w:r>
      <w:proofErr w:type="gramEnd"/>
      <w:r w:rsidRPr="003C42E4">
        <w:rPr>
          <w:sz w:val="24"/>
          <w:szCs w:val="24"/>
        </w:rPr>
        <w:t xml:space="preserve">12, 6456) = 2.62, </w:t>
      </w:r>
      <w:r w:rsidRPr="003C42E4">
        <w:rPr>
          <w:i/>
          <w:iCs/>
          <w:sz w:val="24"/>
          <w:szCs w:val="24"/>
        </w:rPr>
        <w:t>p</w:t>
      </w:r>
      <w:r w:rsidRPr="003C42E4">
        <w:rPr>
          <w:sz w:val="24"/>
          <w:szCs w:val="24"/>
        </w:rPr>
        <w:t xml:space="preserve"> = .002, though the effect size was small (partial η² = .005), with high observed power (.98). These results suggest that both </w:t>
      </w:r>
      <w:r w:rsidRPr="003C42E4" w:rsidR="00D86FE1">
        <w:rPr>
          <w:sz w:val="24"/>
          <w:szCs w:val="24"/>
        </w:rPr>
        <w:t>EE</w:t>
      </w:r>
      <w:r w:rsidRPr="003C42E4">
        <w:rPr>
          <w:sz w:val="24"/>
          <w:szCs w:val="24"/>
        </w:rPr>
        <w:t xml:space="preserve"> and college affiliation significantly influenced the multivariate outcome variables, with a small interaction effect. </w:t>
      </w:r>
    </w:p>
    <w:p w:rsidRPr="00D86FE1" w:rsidR="00D86FE1" w:rsidP="00D86FE1" w:rsidRDefault="00D86FE1" w14:paraId="3260CEA6" w14:textId="1C2EFB48">
      <w:pPr>
        <w:spacing w:before="0" w:after="160" w:line="278" w:lineRule="auto"/>
        <w:rPr>
          <w:sz w:val="24"/>
          <w:szCs w:val="24"/>
        </w:rPr>
      </w:pPr>
      <w:r w:rsidRPr="00D86FE1">
        <w:rPr>
          <w:sz w:val="24"/>
          <w:szCs w:val="24"/>
        </w:rPr>
        <w:lastRenderedPageBreak/>
        <w:t xml:space="preserve">A series of univariate analyses examined the effects of </w:t>
      </w:r>
      <w:r w:rsidRPr="003C42E4">
        <w:rPr>
          <w:sz w:val="24"/>
          <w:szCs w:val="24"/>
        </w:rPr>
        <w:t>EE</w:t>
      </w:r>
      <w:r w:rsidRPr="00D86FE1">
        <w:rPr>
          <w:sz w:val="24"/>
          <w:szCs w:val="24"/>
        </w:rPr>
        <w:t>, college affiliation, and their interaction on two dependent variables: DFQ</w:t>
      </w:r>
      <w:r w:rsidRPr="003C42E4">
        <w:rPr>
          <w:sz w:val="24"/>
          <w:szCs w:val="24"/>
        </w:rPr>
        <w:t xml:space="preserve"> </w:t>
      </w:r>
      <w:r w:rsidRPr="00D86FE1">
        <w:rPr>
          <w:sz w:val="24"/>
          <w:szCs w:val="24"/>
        </w:rPr>
        <w:t>Rate and Excellent</w:t>
      </w:r>
      <w:r w:rsidRPr="003C42E4">
        <w:rPr>
          <w:sz w:val="24"/>
          <w:szCs w:val="24"/>
        </w:rPr>
        <w:t xml:space="preserve"> </w:t>
      </w:r>
      <w:r w:rsidRPr="00D86FE1">
        <w:rPr>
          <w:sz w:val="24"/>
          <w:szCs w:val="24"/>
        </w:rPr>
        <w:t>Teacher.</w:t>
      </w:r>
    </w:p>
    <w:p w:rsidRPr="00D86FE1" w:rsidR="00D86FE1" w:rsidP="00D86FE1" w:rsidRDefault="00D86FE1" w14:paraId="46E48295" w14:textId="7F6DB811">
      <w:pPr>
        <w:spacing w:before="0" w:after="160" w:line="278" w:lineRule="auto"/>
        <w:rPr>
          <w:sz w:val="24"/>
          <w:szCs w:val="24"/>
        </w:rPr>
      </w:pPr>
      <w:r w:rsidRPr="00D86FE1">
        <w:rPr>
          <w:sz w:val="24"/>
          <w:szCs w:val="24"/>
        </w:rPr>
        <w:t>For DFQ</w:t>
      </w:r>
      <w:r w:rsidRPr="003C42E4" w:rsidR="00882CDA">
        <w:rPr>
          <w:sz w:val="24"/>
          <w:szCs w:val="24"/>
        </w:rPr>
        <w:t xml:space="preserve"> </w:t>
      </w:r>
      <w:r w:rsidRPr="00D86FE1">
        <w:rPr>
          <w:sz w:val="24"/>
          <w:szCs w:val="24"/>
        </w:rPr>
        <w:t xml:space="preserve">Rate, the overall model was significant, </w:t>
      </w:r>
      <w:proofErr w:type="gramStart"/>
      <w:r w:rsidRPr="00D86FE1">
        <w:rPr>
          <w:i/>
          <w:iCs/>
          <w:sz w:val="24"/>
          <w:szCs w:val="24"/>
        </w:rPr>
        <w:t>F</w:t>
      </w:r>
      <w:r w:rsidRPr="00D86FE1">
        <w:rPr>
          <w:sz w:val="24"/>
          <w:szCs w:val="24"/>
        </w:rPr>
        <w:t>(</w:t>
      </w:r>
      <w:proofErr w:type="gramEnd"/>
      <w:r w:rsidRPr="00D86FE1">
        <w:rPr>
          <w:sz w:val="24"/>
          <w:szCs w:val="24"/>
        </w:rPr>
        <w:t xml:space="preserve">13, 3229) = 54.41, </w:t>
      </w:r>
      <w:r w:rsidRPr="00D86FE1">
        <w:rPr>
          <w:i/>
          <w:iCs/>
          <w:sz w:val="24"/>
          <w:szCs w:val="24"/>
        </w:rPr>
        <w:t>p</w:t>
      </w:r>
      <w:r w:rsidRPr="00D86FE1">
        <w:rPr>
          <w:sz w:val="24"/>
          <w:szCs w:val="24"/>
        </w:rPr>
        <w:t xml:space="preserve"> &lt; .001, with a moderate effect size (partial η² = .18). EE had a significant but small effect, </w:t>
      </w:r>
      <w:proofErr w:type="gramStart"/>
      <w:r w:rsidRPr="00D86FE1">
        <w:rPr>
          <w:i/>
          <w:iCs/>
          <w:sz w:val="24"/>
          <w:szCs w:val="24"/>
        </w:rPr>
        <w:t>F</w:t>
      </w:r>
      <w:r w:rsidRPr="00D86FE1">
        <w:rPr>
          <w:sz w:val="24"/>
          <w:szCs w:val="24"/>
        </w:rPr>
        <w:t>(</w:t>
      </w:r>
      <w:proofErr w:type="gramEnd"/>
      <w:r w:rsidRPr="00D86FE1">
        <w:rPr>
          <w:sz w:val="24"/>
          <w:szCs w:val="24"/>
        </w:rPr>
        <w:t xml:space="preserve">1, 3229) = 17.39, </w:t>
      </w:r>
      <w:r w:rsidRPr="00D86FE1">
        <w:rPr>
          <w:i/>
          <w:iCs/>
          <w:sz w:val="24"/>
          <w:szCs w:val="24"/>
        </w:rPr>
        <w:t>p</w:t>
      </w:r>
      <w:r w:rsidRPr="00D86FE1">
        <w:rPr>
          <w:sz w:val="24"/>
          <w:szCs w:val="24"/>
        </w:rPr>
        <w:t xml:space="preserve"> &lt; .001, partial η² = .005. College affiliation had a larger and significant effect, </w:t>
      </w:r>
      <w:proofErr w:type="gramStart"/>
      <w:r w:rsidRPr="00D86FE1">
        <w:rPr>
          <w:i/>
          <w:iCs/>
          <w:sz w:val="24"/>
          <w:szCs w:val="24"/>
        </w:rPr>
        <w:t>F</w:t>
      </w:r>
      <w:r w:rsidRPr="00D86FE1">
        <w:rPr>
          <w:sz w:val="24"/>
          <w:szCs w:val="24"/>
        </w:rPr>
        <w:t>(</w:t>
      </w:r>
      <w:proofErr w:type="gramEnd"/>
      <w:r w:rsidRPr="00D86FE1">
        <w:rPr>
          <w:sz w:val="24"/>
          <w:szCs w:val="24"/>
        </w:rPr>
        <w:t xml:space="preserve">6, 3229) = 111.61, </w:t>
      </w:r>
      <w:r w:rsidRPr="00D86FE1">
        <w:rPr>
          <w:i/>
          <w:iCs/>
          <w:sz w:val="24"/>
          <w:szCs w:val="24"/>
        </w:rPr>
        <w:t>p</w:t>
      </w:r>
      <w:r w:rsidRPr="00D86FE1">
        <w:rPr>
          <w:sz w:val="24"/>
          <w:szCs w:val="24"/>
        </w:rPr>
        <w:t xml:space="preserve"> &lt; .001, partial η² = .172. The interaction between EE and college was not significant, </w:t>
      </w:r>
      <w:proofErr w:type="gramStart"/>
      <w:r w:rsidRPr="00D86FE1">
        <w:rPr>
          <w:i/>
          <w:iCs/>
          <w:sz w:val="24"/>
          <w:szCs w:val="24"/>
        </w:rPr>
        <w:t>F</w:t>
      </w:r>
      <w:r w:rsidRPr="00D86FE1">
        <w:rPr>
          <w:sz w:val="24"/>
          <w:szCs w:val="24"/>
        </w:rPr>
        <w:t>(</w:t>
      </w:r>
      <w:proofErr w:type="gramEnd"/>
      <w:r w:rsidRPr="00D86FE1">
        <w:rPr>
          <w:sz w:val="24"/>
          <w:szCs w:val="24"/>
        </w:rPr>
        <w:t xml:space="preserve">6, 3229) = 1.30, </w:t>
      </w:r>
      <w:r w:rsidRPr="00D86FE1">
        <w:rPr>
          <w:i/>
          <w:iCs/>
          <w:sz w:val="24"/>
          <w:szCs w:val="24"/>
        </w:rPr>
        <w:t>p</w:t>
      </w:r>
      <w:r w:rsidRPr="00D86FE1">
        <w:rPr>
          <w:sz w:val="24"/>
          <w:szCs w:val="24"/>
        </w:rPr>
        <w:t xml:space="preserve"> = .255, indicating no meaningful interaction effect on DFQ</w:t>
      </w:r>
      <w:r w:rsidRPr="003C42E4" w:rsidR="00882CDA">
        <w:rPr>
          <w:sz w:val="24"/>
          <w:szCs w:val="24"/>
        </w:rPr>
        <w:t xml:space="preserve"> </w:t>
      </w:r>
      <w:r w:rsidRPr="00D86FE1">
        <w:rPr>
          <w:sz w:val="24"/>
          <w:szCs w:val="24"/>
        </w:rPr>
        <w:t>Rate.</w:t>
      </w:r>
    </w:p>
    <w:p w:rsidRPr="00D86FE1" w:rsidR="00D86FE1" w:rsidP="00D86FE1" w:rsidRDefault="00D86FE1" w14:paraId="47726485" w14:textId="0F6DB963">
      <w:pPr>
        <w:spacing w:before="0" w:after="160" w:line="278" w:lineRule="auto"/>
        <w:rPr>
          <w:sz w:val="24"/>
          <w:szCs w:val="24"/>
        </w:rPr>
      </w:pPr>
      <w:r w:rsidRPr="00D86FE1">
        <w:rPr>
          <w:sz w:val="24"/>
          <w:szCs w:val="24"/>
        </w:rPr>
        <w:t>For Excellent</w:t>
      </w:r>
      <w:r w:rsidRPr="003C42E4" w:rsidR="00882CDA">
        <w:rPr>
          <w:sz w:val="24"/>
          <w:szCs w:val="24"/>
        </w:rPr>
        <w:t xml:space="preserve"> </w:t>
      </w:r>
      <w:r w:rsidRPr="00D86FE1">
        <w:rPr>
          <w:sz w:val="24"/>
          <w:szCs w:val="24"/>
        </w:rPr>
        <w:t xml:space="preserve">Teacher, the overall model was also significant, </w:t>
      </w:r>
      <w:proofErr w:type="gramStart"/>
      <w:r w:rsidRPr="00D86FE1">
        <w:rPr>
          <w:i/>
          <w:iCs/>
          <w:sz w:val="24"/>
          <w:szCs w:val="24"/>
        </w:rPr>
        <w:t>F</w:t>
      </w:r>
      <w:r w:rsidRPr="00D86FE1">
        <w:rPr>
          <w:sz w:val="24"/>
          <w:szCs w:val="24"/>
        </w:rPr>
        <w:t>(</w:t>
      </w:r>
      <w:proofErr w:type="gramEnd"/>
      <w:r w:rsidRPr="00D86FE1">
        <w:rPr>
          <w:sz w:val="24"/>
          <w:szCs w:val="24"/>
        </w:rPr>
        <w:t xml:space="preserve">13, 3229) = 7.58, </w:t>
      </w:r>
      <w:r w:rsidRPr="00D86FE1">
        <w:rPr>
          <w:i/>
          <w:iCs/>
          <w:sz w:val="24"/>
          <w:szCs w:val="24"/>
        </w:rPr>
        <w:t>p</w:t>
      </w:r>
      <w:r w:rsidRPr="00D86FE1">
        <w:rPr>
          <w:sz w:val="24"/>
          <w:szCs w:val="24"/>
        </w:rPr>
        <w:t xml:space="preserve"> &lt; .001, though with a smaller effect size (partial η² = .03). EE had a small but significant effect, </w:t>
      </w:r>
      <w:proofErr w:type="gramStart"/>
      <w:r w:rsidRPr="00D86FE1">
        <w:rPr>
          <w:i/>
          <w:iCs/>
          <w:sz w:val="24"/>
          <w:szCs w:val="24"/>
        </w:rPr>
        <w:t>F</w:t>
      </w:r>
      <w:r w:rsidRPr="00D86FE1">
        <w:rPr>
          <w:sz w:val="24"/>
          <w:szCs w:val="24"/>
        </w:rPr>
        <w:t>(</w:t>
      </w:r>
      <w:proofErr w:type="gramEnd"/>
      <w:r w:rsidRPr="00D86FE1">
        <w:rPr>
          <w:sz w:val="24"/>
          <w:szCs w:val="24"/>
        </w:rPr>
        <w:t xml:space="preserve">1, 3229) = 9.85, </w:t>
      </w:r>
      <w:r w:rsidRPr="00D86FE1">
        <w:rPr>
          <w:i/>
          <w:iCs/>
          <w:sz w:val="24"/>
          <w:szCs w:val="24"/>
        </w:rPr>
        <w:t>p</w:t>
      </w:r>
      <w:r w:rsidRPr="00D86FE1">
        <w:rPr>
          <w:sz w:val="24"/>
          <w:szCs w:val="24"/>
        </w:rPr>
        <w:t xml:space="preserve"> = .002, partial η² = .003. College affiliation had a statistically significant effect, </w:t>
      </w:r>
      <w:proofErr w:type="gramStart"/>
      <w:r w:rsidRPr="00D86FE1">
        <w:rPr>
          <w:i/>
          <w:iCs/>
          <w:sz w:val="24"/>
          <w:szCs w:val="24"/>
        </w:rPr>
        <w:t>F</w:t>
      </w:r>
      <w:r w:rsidRPr="00D86FE1">
        <w:rPr>
          <w:sz w:val="24"/>
          <w:szCs w:val="24"/>
        </w:rPr>
        <w:t>(</w:t>
      </w:r>
      <w:proofErr w:type="gramEnd"/>
      <w:r w:rsidRPr="00D86FE1">
        <w:rPr>
          <w:sz w:val="24"/>
          <w:szCs w:val="24"/>
        </w:rPr>
        <w:t xml:space="preserve">6, 3229) = 11.16, </w:t>
      </w:r>
      <w:r w:rsidRPr="00D86FE1">
        <w:rPr>
          <w:i/>
          <w:iCs/>
          <w:sz w:val="24"/>
          <w:szCs w:val="24"/>
        </w:rPr>
        <w:t>p</w:t>
      </w:r>
      <w:r w:rsidRPr="00D86FE1">
        <w:rPr>
          <w:sz w:val="24"/>
          <w:szCs w:val="24"/>
        </w:rPr>
        <w:t xml:space="preserve"> &lt; .001, partial η² = .02. The interaction between EE and college was also significant, </w:t>
      </w:r>
      <w:proofErr w:type="gramStart"/>
      <w:r w:rsidRPr="00D86FE1">
        <w:rPr>
          <w:i/>
          <w:iCs/>
          <w:sz w:val="24"/>
          <w:szCs w:val="24"/>
        </w:rPr>
        <w:t>F</w:t>
      </w:r>
      <w:r w:rsidRPr="00D86FE1">
        <w:rPr>
          <w:sz w:val="24"/>
          <w:szCs w:val="24"/>
        </w:rPr>
        <w:t>(</w:t>
      </w:r>
      <w:proofErr w:type="gramEnd"/>
      <w:r w:rsidRPr="00D86FE1">
        <w:rPr>
          <w:sz w:val="24"/>
          <w:szCs w:val="24"/>
        </w:rPr>
        <w:t xml:space="preserve">6, 3229) = 4.01, </w:t>
      </w:r>
      <w:r w:rsidRPr="00D86FE1">
        <w:rPr>
          <w:i/>
          <w:iCs/>
          <w:sz w:val="24"/>
          <w:szCs w:val="24"/>
        </w:rPr>
        <w:t>p</w:t>
      </w:r>
      <w:r w:rsidRPr="00D86FE1">
        <w:rPr>
          <w:sz w:val="24"/>
          <w:szCs w:val="24"/>
        </w:rPr>
        <w:t xml:space="preserve"> &lt; .001, partial η² = .007, suggesting a small but reliable interaction effect on perceptions of teaching excellence.</w:t>
      </w:r>
    </w:p>
    <w:p w:rsidRPr="00E03C59" w:rsidR="00531D47" w:rsidP="003C42E4" w:rsidRDefault="000A08F6" w14:paraId="0F4E461B" w14:textId="5D137D43">
      <w:pPr>
        <w:pStyle w:val="Heading2"/>
        <w:rPr>
          <w:sz w:val="32"/>
          <w:szCs w:val="32"/>
        </w:rPr>
      </w:pPr>
      <w:bookmarkStart w:name="_Toc200371349" w:id="9"/>
      <w:r w:rsidRPr="00E03C59">
        <w:rPr>
          <w:sz w:val="32"/>
          <w:szCs w:val="32"/>
        </w:rPr>
        <w:t>TIG</w:t>
      </w:r>
      <w:r w:rsidRPr="00E03C59" w:rsidR="00DF7042">
        <w:rPr>
          <w:sz w:val="32"/>
          <w:szCs w:val="32"/>
        </w:rPr>
        <w:t xml:space="preserve"> Impact</w:t>
      </w:r>
      <w:bookmarkEnd w:id="9"/>
    </w:p>
    <w:p w:rsidR="00B27EFB" w:rsidP="00630DB5" w:rsidRDefault="00B27EFB" w14:paraId="3745672D" w14:textId="77777777">
      <w:pPr>
        <w:spacing w:before="0" w:after="160" w:line="278" w:lineRule="auto"/>
        <w:rPr>
          <w:sz w:val="24"/>
          <w:szCs w:val="24"/>
        </w:rPr>
      </w:pPr>
    </w:p>
    <w:p w:rsidRPr="00E03C59" w:rsidR="00E03C59" w:rsidP="00630DB5" w:rsidRDefault="00E03C59" w14:paraId="309E153B" w14:textId="3CCB50AA">
      <w:pPr>
        <w:spacing w:before="0" w:after="160" w:line="278" w:lineRule="auto"/>
        <w:rPr>
          <w:rFonts w:cstheme="minorHAnsi"/>
          <w:sz w:val="24"/>
          <w:szCs w:val="24"/>
        </w:rPr>
      </w:pPr>
      <w:r w:rsidRPr="00E2790E">
        <w:rPr>
          <w:rFonts w:cstheme="minorHAnsi"/>
          <w:sz w:val="24"/>
          <w:szCs w:val="24"/>
        </w:rPr>
        <w:t xml:space="preserve">Propensity score matching was used to match ACUE courses and other courses using faculty department, race, gender, course enrollment as covariates using a distance caliper of 0.05 (Table </w:t>
      </w:r>
      <w:r w:rsidR="00F92848">
        <w:rPr>
          <w:rFonts w:cstheme="minorHAnsi"/>
          <w:sz w:val="24"/>
          <w:szCs w:val="24"/>
        </w:rPr>
        <w:t>7</w:t>
      </w:r>
      <w:r w:rsidRPr="00E2790E">
        <w:rPr>
          <w:rFonts w:cstheme="minorHAnsi"/>
          <w:sz w:val="24"/>
          <w:szCs w:val="24"/>
        </w:rPr>
        <w:t xml:space="preserve">). </w:t>
      </w:r>
    </w:p>
    <w:p w:rsidRPr="00E2790E" w:rsidR="000A7607" w:rsidP="000A7607" w:rsidRDefault="000A7607" w14:paraId="30FE0497" w14:textId="1DC07C40">
      <w:pPr>
        <w:pStyle w:val="NoSpacing"/>
        <w:rPr>
          <w:sz w:val="24"/>
          <w:szCs w:val="24"/>
        </w:rPr>
      </w:pPr>
      <w:r w:rsidRPr="00E2790E">
        <w:rPr>
          <w:sz w:val="24"/>
          <w:szCs w:val="24"/>
        </w:rPr>
        <w:t xml:space="preserve">Table </w:t>
      </w:r>
      <w:r w:rsidR="00F92848">
        <w:rPr>
          <w:sz w:val="24"/>
          <w:szCs w:val="24"/>
        </w:rPr>
        <w:t>7</w:t>
      </w:r>
    </w:p>
    <w:p w:rsidRPr="00E2790E" w:rsidR="000A7607" w:rsidP="000A7607" w:rsidRDefault="000A7607" w14:paraId="1C02D78B" w14:textId="77777777">
      <w:pPr>
        <w:pStyle w:val="NoSpacing"/>
        <w:rPr>
          <w:i/>
          <w:iCs/>
          <w:sz w:val="24"/>
          <w:szCs w:val="24"/>
        </w:rPr>
      </w:pPr>
      <w:r w:rsidRPr="00E2790E">
        <w:rPr>
          <w:i/>
          <w:iCs/>
          <w:sz w:val="24"/>
          <w:szCs w:val="24"/>
        </w:rPr>
        <w:t>Summary of Balance</w:t>
      </w:r>
    </w:p>
    <w:tbl>
      <w:tblPr>
        <w:tblW w:w="0" w:type="auto"/>
        <w:tblBorders>
          <w:top w:val="single" w:color="auto" w:sz="4" w:space="0"/>
          <w:bottom w:val="single" w:color="auto" w:sz="4" w:space="0"/>
        </w:tblBorders>
        <w:tblLook w:val="04A0" w:firstRow="1" w:lastRow="0" w:firstColumn="1" w:lastColumn="0" w:noHBand="0" w:noVBand="1"/>
      </w:tblPr>
      <w:tblGrid>
        <w:gridCol w:w="2166"/>
        <w:gridCol w:w="802"/>
        <w:gridCol w:w="1318"/>
        <w:gridCol w:w="717"/>
        <w:gridCol w:w="802"/>
        <w:gridCol w:w="1318"/>
        <w:gridCol w:w="717"/>
      </w:tblGrid>
      <w:tr w:rsidRPr="00F92848" w:rsidR="00A93788" w:rsidTr="00C264FD" w14:paraId="5237470C" w14:textId="77777777">
        <w:trPr>
          <w:trHeight w:val="288"/>
        </w:trPr>
        <w:tc>
          <w:tcPr>
            <w:tcW w:w="0" w:type="auto"/>
            <w:tcBorders>
              <w:bottom w:val="nil"/>
            </w:tcBorders>
            <w:shd w:val="clear" w:color="auto" w:fill="auto"/>
            <w:noWrap/>
            <w:vAlign w:val="bottom"/>
            <w:hideMark/>
          </w:tcPr>
          <w:p w:rsidRPr="00F92848" w:rsidR="00A93788" w:rsidP="00F17D97" w:rsidRDefault="00A93788" w14:paraId="3413BC4C" w14:textId="77777777">
            <w:pPr>
              <w:spacing w:before="0" w:after="0" w:line="240" w:lineRule="auto"/>
              <w:rPr>
                <w:rFonts w:eastAsia="Times New Roman" w:cs="Times New Roman"/>
                <w:sz w:val="24"/>
                <w:szCs w:val="24"/>
              </w:rPr>
            </w:pPr>
          </w:p>
        </w:tc>
        <w:tc>
          <w:tcPr>
            <w:tcW w:w="0" w:type="auto"/>
            <w:gridSpan w:val="3"/>
            <w:tcBorders>
              <w:top w:val="single" w:color="auto" w:sz="4" w:space="0"/>
              <w:bottom w:val="single" w:color="auto" w:sz="4" w:space="0"/>
            </w:tcBorders>
            <w:shd w:val="clear" w:color="auto" w:fill="auto"/>
            <w:noWrap/>
            <w:vAlign w:val="bottom"/>
            <w:hideMark/>
          </w:tcPr>
          <w:p w:rsidRPr="00F92848" w:rsidR="00A93788" w:rsidP="00F17D97" w:rsidRDefault="00A93788" w14:paraId="4650266C" w14:textId="42A0DC81">
            <w:pPr>
              <w:spacing w:before="0" w:after="0" w:line="240" w:lineRule="auto"/>
              <w:rPr>
                <w:rFonts w:eastAsia="Times New Roman" w:cs="Times New Roman"/>
                <w:color w:val="000000"/>
                <w:sz w:val="24"/>
                <w:szCs w:val="24"/>
              </w:rPr>
            </w:pPr>
            <w:r w:rsidRPr="00F92848">
              <w:rPr>
                <w:rFonts w:eastAsia="Times New Roman" w:cs="Times New Roman"/>
                <w:color w:val="000000"/>
                <w:sz w:val="24"/>
                <w:szCs w:val="24"/>
              </w:rPr>
              <w:t>Unmatched (</w:t>
            </w:r>
            <w:r w:rsidRPr="00F92848">
              <w:rPr>
                <w:rFonts w:eastAsia="Times New Roman" w:cs="Times New Roman"/>
                <w:i/>
                <w:iCs/>
                <w:color w:val="000000"/>
                <w:sz w:val="24"/>
                <w:szCs w:val="24"/>
              </w:rPr>
              <w:t>N</w:t>
            </w:r>
            <w:r w:rsidRPr="00F92848">
              <w:rPr>
                <w:rFonts w:eastAsia="Times New Roman" w:cs="Times New Roman"/>
                <w:color w:val="000000"/>
                <w:sz w:val="24"/>
                <w:szCs w:val="24"/>
              </w:rPr>
              <w:t xml:space="preserve"> = </w:t>
            </w:r>
            <w:r w:rsidRPr="00F92848">
              <w:rPr>
                <w:rFonts w:eastAsia="Times New Roman" w:cs="Times New Roman"/>
                <w:color w:val="000000"/>
                <w:sz w:val="24"/>
                <w:szCs w:val="24"/>
              </w:rPr>
              <w:t>11,896)</w:t>
            </w:r>
          </w:p>
        </w:tc>
        <w:tc>
          <w:tcPr>
            <w:tcW w:w="0" w:type="auto"/>
            <w:gridSpan w:val="3"/>
            <w:tcBorders>
              <w:top w:val="single" w:color="auto" w:sz="4" w:space="0"/>
              <w:bottom w:val="single" w:color="auto" w:sz="4" w:space="0"/>
            </w:tcBorders>
            <w:shd w:val="clear" w:color="auto" w:fill="auto"/>
            <w:noWrap/>
            <w:vAlign w:val="bottom"/>
            <w:hideMark/>
          </w:tcPr>
          <w:p w:rsidRPr="00F92848" w:rsidR="00A93788" w:rsidP="00F17D97" w:rsidRDefault="00A93788" w14:paraId="02C171CC" w14:textId="2A95D1AF">
            <w:pPr>
              <w:spacing w:before="0" w:after="0" w:line="240" w:lineRule="auto"/>
              <w:rPr>
                <w:rFonts w:eastAsia="Times New Roman" w:cs="Times New Roman"/>
                <w:color w:val="000000"/>
                <w:sz w:val="24"/>
                <w:szCs w:val="24"/>
              </w:rPr>
            </w:pPr>
            <w:r w:rsidRPr="00F92848">
              <w:rPr>
                <w:rFonts w:eastAsia="Times New Roman" w:cs="Times New Roman"/>
                <w:color w:val="000000"/>
                <w:sz w:val="24"/>
                <w:szCs w:val="24"/>
              </w:rPr>
              <w:t>Matched (</w:t>
            </w:r>
            <w:r w:rsidRPr="00F92848">
              <w:rPr>
                <w:rFonts w:eastAsia="Times New Roman" w:cs="Times New Roman"/>
                <w:i/>
                <w:iCs/>
                <w:color w:val="000000"/>
                <w:sz w:val="24"/>
                <w:szCs w:val="24"/>
              </w:rPr>
              <w:t>N</w:t>
            </w:r>
            <w:r w:rsidRPr="00F92848">
              <w:rPr>
                <w:rFonts w:eastAsia="Times New Roman" w:cs="Times New Roman"/>
                <w:color w:val="000000"/>
                <w:sz w:val="24"/>
                <w:szCs w:val="24"/>
              </w:rPr>
              <w:t xml:space="preserve"> = </w:t>
            </w:r>
            <w:r w:rsidRPr="00F92848">
              <w:rPr>
                <w:rFonts w:eastAsia="Times New Roman" w:cs="Times New Roman"/>
                <w:color w:val="000000"/>
                <w:sz w:val="24"/>
                <w:szCs w:val="24"/>
              </w:rPr>
              <w:t>3,294)</w:t>
            </w:r>
          </w:p>
        </w:tc>
      </w:tr>
      <w:tr w:rsidRPr="00F92848" w:rsidR="000A7607" w:rsidTr="00F17D97" w14:paraId="294B4ED5" w14:textId="77777777">
        <w:trPr>
          <w:trHeight w:val="288"/>
        </w:trPr>
        <w:tc>
          <w:tcPr>
            <w:tcW w:w="0" w:type="auto"/>
            <w:tcBorders>
              <w:top w:val="nil"/>
              <w:bottom w:val="single" w:color="auto" w:sz="4" w:space="0"/>
            </w:tcBorders>
            <w:shd w:val="clear" w:color="auto" w:fill="auto"/>
            <w:noWrap/>
            <w:vAlign w:val="bottom"/>
            <w:hideMark/>
          </w:tcPr>
          <w:p w:rsidRPr="00F92848" w:rsidR="000A7607" w:rsidP="00F17D97" w:rsidRDefault="000A7607" w14:paraId="2DAD6A16" w14:textId="77777777">
            <w:pPr>
              <w:spacing w:before="0" w:after="0" w:line="240" w:lineRule="auto"/>
              <w:rPr>
                <w:rFonts w:eastAsia="Times New Roman" w:cs="Times New Roman"/>
                <w:color w:val="000000"/>
                <w:sz w:val="24"/>
                <w:szCs w:val="24"/>
              </w:rPr>
            </w:pPr>
          </w:p>
        </w:tc>
        <w:tc>
          <w:tcPr>
            <w:tcW w:w="0" w:type="auto"/>
            <w:tcBorders>
              <w:top w:val="single" w:color="auto" w:sz="4" w:space="0"/>
              <w:bottom w:val="single" w:color="auto" w:sz="4" w:space="0"/>
            </w:tcBorders>
            <w:shd w:val="clear" w:color="auto" w:fill="auto"/>
            <w:noWrap/>
            <w:vAlign w:val="bottom"/>
            <w:hideMark/>
          </w:tcPr>
          <w:p w:rsidRPr="00F92848" w:rsidR="000A7607" w:rsidP="00F17D97" w:rsidRDefault="00355E17" w14:paraId="70CB867C" w14:textId="2049CF7F">
            <w:pPr>
              <w:spacing w:before="0" w:after="0" w:line="240" w:lineRule="auto"/>
              <w:rPr>
                <w:rFonts w:eastAsia="Times New Roman" w:cs="Times New Roman"/>
                <w:color w:val="000000"/>
                <w:sz w:val="24"/>
                <w:szCs w:val="24"/>
              </w:rPr>
            </w:pPr>
            <w:r w:rsidRPr="00F92848">
              <w:rPr>
                <w:rFonts w:eastAsia="Times New Roman" w:cs="Times New Roman"/>
                <w:color w:val="000000"/>
                <w:sz w:val="24"/>
                <w:szCs w:val="24"/>
              </w:rPr>
              <w:t>TIG</w:t>
            </w:r>
            <w:r w:rsidRPr="00F92848" w:rsidR="000A7607">
              <w:rPr>
                <w:rFonts w:eastAsia="Times New Roman" w:cs="Times New Roman"/>
                <w:color w:val="000000"/>
                <w:sz w:val="24"/>
                <w:szCs w:val="24"/>
              </w:rPr>
              <w:t xml:space="preserve"> </w:t>
            </w:r>
            <w:r w:rsidRPr="00F92848" w:rsidR="000A7607">
              <w:rPr>
                <w:rFonts w:eastAsia="Times New Roman" w:cs="Times New Roman"/>
                <w:i/>
                <w:iCs/>
                <w:color w:val="000000"/>
                <w:sz w:val="24"/>
                <w:szCs w:val="24"/>
              </w:rPr>
              <w:t>M</w:t>
            </w:r>
          </w:p>
        </w:tc>
        <w:tc>
          <w:tcPr>
            <w:tcW w:w="0" w:type="auto"/>
            <w:tcBorders>
              <w:top w:val="single" w:color="auto" w:sz="4" w:space="0"/>
              <w:bottom w:val="single" w:color="auto" w:sz="4" w:space="0"/>
            </w:tcBorders>
            <w:shd w:val="clear" w:color="auto" w:fill="auto"/>
            <w:noWrap/>
            <w:vAlign w:val="bottom"/>
            <w:hideMark/>
          </w:tcPr>
          <w:p w:rsidRPr="00F92848" w:rsidR="000A7607" w:rsidP="00F17D97" w:rsidRDefault="000A7607" w14:paraId="4AF3419A" w14:textId="4F15BE9F">
            <w:pPr>
              <w:spacing w:before="0" w:after="0" w:line="240" w:lineRule="auto"/>
              <w:rPr>
                <w:rFonts w:eastAsia="Times New Roman" w:cs="Times New Roman"/>
                <w:color w:val="000000"/>
                <w:sz w:val="24"/>
                <w:szCs w:val="24"/>
              </w:rPr>
            </w:pPr>
            <w:r w:rsidRPr="00F92848">
              <w:rPr>
                <w:rFonts w:eastAsia="Times New Roman" w:cs="Times New Roman"/>
                <w:color w:val="000000"/>
                <w:sz w:val="24"/>
                <w:szCs w:val="24"/>
              </w:rPr>
              <w:t>Non-</w:t>
            </w:r>
            <w:r w:rsidRPr="00F92848" w:rsidR="00355E17">
              <w:rPr>
                <w:rFonts w:eastAsia="Times New Roman" w:cs="Times New Roman"/>
                <w:color w:val="000000"/>
                <w:sz w:val="24"/>
                <w:szCs w:val="24"/>
              </w:rPr>
              <w:t>TIG</w:t>
            </w:r>
            <w:r w:rsidRPr="00F92848">
              <w:rPr>
                <w:rFonts w:eastAsia="Times New Roman" w:cs="Times New Roman"/>
                <w:color w:val="000000"/>
                <w:sz w:val="24"/>
                <w:szCs w:val="24"/>
              </w:rPr>
              <w:t xml:space="preserve"> </w:t>
            </w:r>
            <w:r w:rsidRPr="00F92848">
              <w:rPr>
                <w:rFonts w:eastAsia="Times New Roman" w:cs="Times New Roman"/>
                <w:i/>
                <w:iCs/>
                <w:color w:val="000000"/>
                <w:sz w:val="24"/>
                <w:szCs w:val="24"/>
              </w:rPr>
              <w:t>M</w:t>
            </w:r>
          </w:p>
        </w:tc>
        <w:tc>
          <w:tcPr>
            <w:tcW w:w="0" w:type="auto"/>
            <w:tcBorders>
              <w:top w:val="single" w:color="auto" w:sz="4" w:space="0"/>
              <w:bottom w:val="single" w:color="auto" w:sz="4" w:space="0"/>
            </w:tcBorders>
            <w:shd w:val="clear" w:color="auto" w:fill="auto"/>
            <w:noWrap/>
            <w:vAlign w:val="bottom"/>
            <w:hideMark/>
          </w:tcPr>
          <w:p w:rsidRPr="00F92848" w:rsidR="000A7607" w:rsidP="00F17D97" w:rsidRDefault="000A7607" w14:paraId="712882D7" w14:textId="77777777">
            <w:pPr>
              <w:spacing w:before="0" w:after="0" w:line="240" w:lineRule="auto"/>
              <w:rPr>
                <w:rFonts w:eastAsia="Times New Roman" w:cs="Times New Roman"/>
                <w:i/>
                <w:iCs/>
                <w:color w:val="000000"/>
                <w:sz w:val="24"/>
                <w:szCs w:val="24"/>
              </w:rPr>
            </w:pPr>
            <w:r w:rsidRPr="00F92848">
              <w:rPr>
                <w:rFonts w:eastAsia="Times New Roman" w:cs="Times New Roman"/>
                <w:i/>
                <w:iCs/>
                <w:color w:val="000000"/>
                <w:sz w:val="24"/>
                <w:szCs w:val="24"/>
              </w:rPr>
              <w:t>d</w:t>
            </w:r>
          </w:p>
        </w:tc>
        <w:tc>
          <w:tcPr>
            <w:tcW w:w="0" w:type="auto"/>
            <w:tcBorders>
              <w:top w:val="single" w:color="auto" w:sz="4" w:space="0"/>
              <w:bottom w:val="single" w:color="auto" w:sz="4" w:space="0"/>
            </w:tcBorders>
            <w:shd w:val="clear" w:color="auto" w:fill="auto"/>
            <w:noWrap/>
            <w:vAlign w:val="bottom"/>
            <w:hideMark/>
          </w:tcPr>
          <w:p w:rsidRPr="00F92848" w:rsidR="000A7607" w:rsidP="00F17D97" w:rsidRDefault="00355E17" w14:paraId="3A306067" w14:textId="3757B99F">
            <w:pPr>
              <w:spacing w:before="0" w:after="0" w:line="240" w:lineRule="auto"/>
              <w:rPr>
                <w:rFonts w:eastAsia="Times New Roman" w:cs="Times New Roman"/>
                <w:color w:val="000000"/>
                <w:sz w:val="24"/>
                <w:szCs w:val="24"/>
              </w:rPr>
            </w:pPr>
            <w:r w:rsidRPr="00F92848">
              <w:rPr>
                <w:rFonts w:eastAsia="Times New Roman" w:cs="Times New Roman"/>
                <w:color w:val="000000"/>
                <w:sz w:val="24"/>
                <w:szCs w:val="24"/>
              </w:rPr>
              <w:t>TIG</w:t>
            </w:r>
            <w:r w:rsidRPr="00F92848" w:rsidR="000A7607">
              <w:rPr>
                <w:rFonts w:eastAsia="Times New Roman" w:cs="Times New Roman"/>
                <w:color w:val="000000"/>
                <w:sz w:val="24"/>
                <w:szCs w:val="24"/>
              </w:rPr>
              <w:t xml:space="preserve"> </w:t>
            </w:r>
            <w:r w:rsidRPr="00F92848" w:rsidR="000A7607">
              <w:rPr>
                <w:rFonts w:eastAsia="Times New Roman" w:cs="Times New Roman"/>
                <w:i/>
                <w:iCs/>
                <w:color w:val="000000"/>
                <w:sz w:val="24"/>
                <w:szCs w:val="24"/>
              </w:rPr>
              <w:t>M</w:t>
            </w:r>
          </w:p>
        </w:tc>
        <w:tc>
          <w:tcPr>
            <w:tcW w:w="0" w:type="auto"/>
            <w:tcBorders>
              <w:top w:val="single" w:color="auto" w:sz="4" w:space="0"/>
              <w:bottom w:val="single" w:color="auto" w:sz="4" w:space="0"/>
            </w:tcBorders>
            <w:shd w:val="clear" w:color="auto" w:fill="auto"/>
            <w:noWrap/>
            <w:vAlign w:val="bottom"/>
            <w:hideMark/>
          </w:tcPr>
          <w:p w:rsidRPr="00F92848" w:rsidR="000A7607" w:rsidP="00F17D97" w:rsidRDefault="000A7607" w14:paraId="6CEF1147" w14:textId="1B55A924">
            <w:pPr>
              <w:spacing w:before="0" w:after="0" w:line="240" w:lineRule="auto"/>
              <w:rPr>
                <w:rFonts w:eastAsia="Times New Roman" w:cs="Times New Roman"/>
                <w:color w:val="000000"/>
                <w:sz w:val="24"/>
                <w:szCs w:val="24"/>
              </w:rPr>
            </w:pPr>
            <w:r w:rsidRPr="00F92848">
              <w:rPr>
                <w:rFonts w:eastAsia="Times New Roman" w:cs="Times New Roman"/>
                <w:color w:val="000000"/>
                <w:sz w:val="24"/>
                <w:szCs w:val="24"/>
              </w:rPr>
              <w:t>Non-</w:t>
            </w:r>
            <w:r w:rsidRPr="00F92848" w:rsidR="00355E17">
              <w:rPr>
                <w:rFonts w:eastAsia="Times New Roman" w:cs="Times New Roman"/>
                <w:color w:val="000000"/>
                <w:sz w:val="24"/>
                <w:szCs w:val="24"/>
              </w:rPr>
              <w:t>TIG</w:t>
            </w:r>
            <w:r w:rsidRPr="00F92848">
              <w:rPr>
                <w:rFonts w:eastAsia="Times New Roman" w:cs="Times New Roman"/>
                <w:color w:val="000000"/>
                <w:sz w:val="24"/>
                <w:szCs w:val="24"/>
              </w:rPr>
              <w:t xml:space="preserve"> </w:t>
            </w:r>
            <w:r w:rsidRPr="00F92848">
              <w:rPr>
                <w:rFonts w:eastAsia="Times New Roman" w:cs="Times New Roman"/>
                <w:i/>
                <w:iCs/>
                <w:color w:val="000000"/>
                <w:sz w:val="24"/>
                <w:szCs w:val="24"/>
              </w:rPr>
              <w:t>M</w:t>
            </w:r>
          </w:p>
        </w:tc>
        <w:tc>
          <w:tcPr>
            <w:tcW w:w="0" w:type="auto"/>
            <w:tcBorders>
              <w:top w:val="single" w:color="auto" w:sz="4" w:space="0"/>
              <w:bottom w:val="single" w:color="auto" w:sz="4" w:space="0"/>
            </w:tcBorders>
            <w:shd w:val="clear" w:color="auto" w:fill="auto"/>
            <w:noWrap/>
            <w:vAlign w:val="bottom"/>
            <w:hideMark/>
          </w:tcPr>
          <w:p w:rsidRPr="00F92848" w:rsidR="000A7607" w:rsidP="00F17D97" w:rsidRDefault="000A7607" w14:paraId="2A76C409" w14:textId="77777777">
            <w:pPr>
              <w:spacing w:before="0" w:after="0" w:line="240" w:lineRule="auto"/>
              <w:rPr>
                <w:rFonts w:eastAsia="Times New Roman" w:cs="Times New Roman"/>
                <w:i/>
                <w:iCs/>
                <w:color w:val="000000"/>
                <w:sz w:val="24"/>
                <w:szCs w:val="24"/>
              </w:rPr>
            </w:pPr>
            <w:r w:rsidRPr="00F92848">
              <w:rPr>
                <w:rFonts w:eastAsia="Times New Roman" w:cs="Times New Roman"/>
                <w:i/>
                <w:iCs/>
                <w:color w:val="000000"/>
                <w:sz w:val="24"/>
                <w:szCs w:val="24"/>
              </w:rPr>
              <w:t>d</w:t>
            </w:r>
          </w:p>
        </w:tc>
      </w:tr>
      <w:tr w:rsidRPr="00F92848" w:rsidR="00355E17" w:rsidTr="001F0504" w14:paraId="6C9F6689" w14:textId="77777777">
        <w:trPr>
          <w:trHeight w:val="288"/>
        </w:trPr>
        <w:tc>
          <w:tcPr>
            <w:tcW w:w="0" w:type="auto"/>
            <w:tcBorders>
              <w:top w:val="single" w:color="auto" w:sz="4" w:space="0"/>
            </w:tcBorders>
            <w:shd w:val="clear" w:color="auto" w:fill="auto"/>
            <w:noWrap/>
            <w:vAlign w:val="bottom"/>
            <w:hideMark/>
          </w:tcPr>
          <w:p w:rsidRPr="00F92848" w:rsidR="00355E17" w:rsidP="00355E17" w:rsidRDefault="00355E17" w14:paraId="491C18BF" w14:textId="77777777">
            <w:pPr>
              <w:spacing w:before="0" w:after="0" w:line="240" w:lineRule="auto"/>
              <w:rPr>
                <w:rFonts w:eastAsia="Times New Roman" w:cs="Times New Roman"/>
                <w:color w:val="000000"/>
                <w:sz w:val="24"/>
                <w:szCs w:val="24"/>
              </w:rPr>
            </w:pPr>
            <w:r w:rsidRPr="00F92848">
              <w:rPr>
                <w:rFonts w:eastAsia="Times New Roman" w:cs="Times New Roman"/>
                <w:color w:val="000000"/>
                <w:sz w:val="24"/>
                <w:szCs w:val="24"/>
              </w:rPr>
              <w:t>Department</w:t>
            </w:r>
          </w:p>
        </w:tc>
        <w:tc>
          <w:tcPr>
            <w:tcW w:w="0" w:type="auto"/>
            <w:tcBorders>
              <w:top w:val="single" w:color="auto" w:sz="4" w:space="0"/>
            </w:tcBorders>
            <w:shd w:val="clear" w:color="auto" w:fill="auto"/>
            <w:noWrap/>
            <w:vAlign w:val="bottom"/>
            <w:hideMark/>
          </w:tcPr>
          <w:p w:rsidRPr="00F92848" w:rsidR="00355E17" w:rsidP="00355E17" w:rsidRDefault="00355E17" w14:paraId="55EE2948" w14:textId="63ECD1C4">
            <w:pPr>
              <w:spacing w:before="0" w:after="0" w:line="240" w:lineRule="auto"/>
              <w:rPr>
                <w:rFonts w:eastAsia="Times New Roman" w:cs="Times New Roman"/>
                <w:color w:val="000000"/>
                <w:sz w:val="24"/>
                <w:szCs w:val="24"/>
              </w:rPr>
            </w:pPr>
            <w:r w:rsidRPr="00F92848">
              <w:rPr>
                <w:rFonts w:ascii="Aptos Narrow" w:hAnsi="Aptos Narrow"/>
                <w:color w:val="000000"/>
                <w:sz w:val="24"/>
                <w:szCs w:val="24"/>
              </w:rPr>
              <w:t>35.19</w:t>
            </w:r>
          </w:p>
        </w:tc>
        <w:tc>
          <w:tcPr>
            <w:tcW w:w="0" w:type="auto"/>
            <w:tcBorders>
              <w:top w:val="single" w:color="auto" w:sz="4" w:space="0"/>
            </w:tcBorders>
            <w:shd w:val="clear" w:color="auto" w:fill="auto"/>
            <w:noWrap/>
            <w:vAlign w:val="bottom"/>
            <w:hideMark/>
          </w:tcPr>
          <w:p w:rsidRPr="00F92848" w:rsidR="00355E17" w:rsidP="00355E17" w:rsidRDefault="00355E17" w14:paraId="2CB29D74" w14:textId="7BEC7991">
            <w:pPr>
              <w:spacing w:before="0" w:after="0" w:line="240" w:lineRule="auto"/>
              <w:rPr>
                <w:rFonts w:eastAsia="Times New Roman" w:cs="Times New Roman"/>
                <w:color w:val="000000"/>
                <w:sz w:val="24"/>
                <w:szCs w:val="24"/>
              </w:rPr>
            </w:pPr>
            <w:r w:rsidRPr="00F92848">
              <w:rPr>
                <w:rFonts w:ascii="Aptos Narrow" w:hAnsi="Aptos Narrow"/>
                <w:color w:val="000000"/>
                <w:sz w:val="24"/>
                <w:szCs w:val="24"/>
              </w:rPr>
              <w:t>36.31</w:t>
            </w:r>
          </w:p>
        </w:tc>
        <w:tc>
          <w:tcPr>
            <w:tcW w:w="0" w:type="auto"/>
            <w:tcBorders>
              <w:top w:val="single" w:color="auto" w:sz="4" w:space="0"/>
            </w:tcBorders>
            <w:shd w:val="clear" w:color="auto" w:fill="auto"/>
            <w:noWrap/>
            <w:vAlign w:val="bottom"/>
            <w:hideMark/>
          </w:tcPr>
          <w:p w:rsidRPr="00F92848" w:rsidR="00355E17" w:rsidP="00355E17" w:rsidRDefault="00355E17" w14:paraId="5B4F2D00" w14:textId="43B6671C">
            <w:pPr>
              <w:spacing w:before="0" w:after="0" w:line="240" w:lineRule="auto"/>
              <w:rPr>
                <w:rFonts w:eastAsia="Times New Roman" w:cs="Times New Roman"/>
                <w:color w:val="000000"/>
                <w:sz w:val="24"/>
                <w:szCs w:val="24"/>
              </w:rPr>
            </w:pPr>
            <w:r w:rsidRPr="00F92848">
              <w:rPr>
                <w:rFonts w:ascii="Aptos Narrow" w:hAnsi="Aptos Narrow"/>
                <w:color w:val="000000"/>
                <w:sz w:val="24"/>
                <w:szCs w:val="24"/>
              </w:rPr>
              <w:t>-0.08</w:t>
            </w:r>
          </w:p>
        </w:tc>
        <w:tc>
          <w:tcPr>
            <w:tcW w:w="0" w:type="auto"/>
            <w:tcBorders>
              <w:top w:val="single" w:color="auto" w:sz="4" w:space="0"/>
            </w:tcBorders>
            <w:shd w:val="clear" w:color="auto" w:fill="auto"/>
            <w:noWrap/>
            <w:vAlign w:val="bottom"/>
            <w:hideMark/>
          </w:tcPr>
          <w:p w:rsidRPr="00F92848" w:rsidR="00355E17" w:rsidP="00355E17" w:rsidRDefault="00355E17" w14:paraId="077E4C3E" w14:textId="23853411">
            <w:pPr>
              <w:spacing w:before="0" w:after="0" w:line="240" w:lineRule="auto"/>
              <w:rPr>
                <w:rFonts w:eastAsia="Times New Roman" w:cs="Times New Roman"/>
                <w:color w:val="000000"/>
                <w:sz w:val="24"/>
                <w:szCs w:val="24"/>
              </w:rPr>
            </w:pPr>
            <w:r w:rsidRPr="00F92848">
              <w:rPr>
                <w:rFonts w:ascii="Aptos Narrow" w:hAnsi="Aptos Narrow"/>
                <w:color w:val="000000"/>
                <w:sz w:val="24"/>
                <w:szCs w:val="24"/>
              </w:rPr>
              <w:t>35.20</w:t>
            </w:r>
          </w:p>
        </w:tc>
        <w:tc>
          <w:tcPr>
            <w:tcW w:w="0" w:type="auto"/>
            <w:tcBorders>
              <w:top w:val="single" w:color="auto" w:sz="4" w:space="0"/>
            </w:tcBorders>
            <w:shd w:val="clear" w:color="auto" w:fill="auto"/>
            <w:noWrap/>
            <w:vAlign w:val="bottom"/>
            <w:hideMark/>
          </w:tcPr>
          <w:p w:rsidRPr="00F92848" w:rsidR="00355E17" w:rsidP="00355E17" w:rsidRDefault="00355E17" w14:paraId="133FA7F0" w14:textId="3EEBB6D3">
            <w:pPr>
              <w:spacing w:before="0" w:after="0" w:line="240" w:lineRule="auto"/>
              <w:rPr>
                <w:rFonts w:eastAsia="Times New Roman" w:cs="Times New Roman"/>
                <w:color w:val="000000"/>
                <w:sz w:val="24"/>
                <w:szCs w:val="24"/>
              </w:rPr>
            </w:pPr>
            <w:r w:rsidRPr="00F92848">
              <w:rPr>
                <w:rFonts w:ascii="Aptos Narrow" w:hAnsi="Aptos Narrow"/>
                <w:color w:val="000000"/>
                <w:sz w:val="24"/>
                <w:szCs w:val="24"/>
              </w:rPr>
              <w:t>36.13</w:t>
            </w:r>
          </w:p>
        </w:tc>
        <w:tc>
          <w:tcPr>
            <w:tcW w:w="0" w:type="auto"/>
            <w:tcBorders>
              <w:top w:val="single" w:color="auto" w:sz="4" w:space="0"/>
            </w:tcBorders>
            <w:shd w:val="clear" w:color="auto" w:fill="auto"/>
            <w:noWrap/>
            <w:vAlign w:val="bottom"/>
            <w:hideMark/>
          </w:tcPr>
          <w:p w:rsidRPr="00F92848" w:rsidR="00355E17" w:rsidP="00355E17" w:rsidRDefault="00355E17" w14:paraId="0C1A6B9F" w14:textId="4AC94E78">
            <w:pPr>
              <w:spacing w:before="0" w:after="0" w:line="240" w:lineRule="auto"/>
              <w:rPr>
                <w:rFonts w:eastAsia="Times New Roman" w:cs="Times New Roman"/>
                <w:color w:val="000000"/>
                <w:sz w:val="24"/>
                <w:szCs w:val="24"/>
              </w:rPr>
            </w:pPr>
            <w:r w:rsidRPr="00F92848">
              <w:rPr>
                <w:rFonts w:ascii="Aptos Narrow" w:hAnsi="Aptos Narrow"/>
                <w:color w:val="000000"/>
                <w:sz w:val="24"/>
                <w:szCs w:val="24"/>
              </w:rPr>
              <w:t>-0.07</w:t>
            </w:r>
          </w:p>
        </w:tc>
      </w:tr>
      <w:tr w:rsidRPr="00F92848" w:rsidR="00355E17" w:rsidTr="001F0504" w14:paraId="0FA14F07" w14:textId="77777777">
        <w:trPr>
          <w:trHeight w:val="288"/>
        </w:trPr>
        <w:tc>
          <w:tcPr>
            <w:tcW w:w="0" w:type="auto"/>
            <w:shd w:val="clear" w:color="auto" w:fill="auto"/>
            <w:noWrap/>
            <w:vAlign w:val="bottom"/>
            <w:hideMark/>
          </w:tcPr>
          <w:p w:rsidRPr="00F92848" w:rsidR="00355E17" w:rsidP="00355E17" w:rsidRDefault="00355E17" w14:paraId="3A2D8351" w14:textId="77777777">
            <w:pPr>
              <w:spacing w:before="0" w:after="0" w:line="240" w:lineRule="auto"/>
              <w:rPr>
                <w:rFonts w:eastAsia="Times New Roman" w:cs="Times New Roman"/>
                <w:color w:val="000000"/>
                <w:sz w:val="24"/>
                <w:szCs w:val="24"/>
              </w:rPr>
            </w:pPr>
            <w:r w:rsidRPr="00F92848">
              <w:rPr>
                <w:rFonts w:eastAsia="Times New Roman" w:cs="Times New Roman"/>
                <w:color w:val="000000"/>
                <w:sz w:val="24"/>
                <w:szCs w:val="24"/>
              </w:rPr>
              <w:t>Race</w:t>
            </w:r>
          </w:p>
        </w:tc>
        <w:tc>
          <w:tcPr>
            <w:tcW w:w="0" w:type="auto"/>
            <w:shd w:val="clear" w:color="auto" w:fill="auto"/>
            <w:noWrap/>
            <w:vAlign w:val="bottom"/>
            <w:hideMark/>
          </w:tcPr>
          <w:p w:rsidRPr="00F92848" w:rsidR="00355E17" w:rsidP="00355E17" w:rsidRDefault="00355E17" w14:paraId="7F13837A" w14:textId="148FB099">
            <w:pPr>
              <w:spacing w:before="0" w:after="0" w:line="240" w:lineRule="auto"/>
              <w:rPr>
                <w:rFonts w:eastAsia="Times New Roman" w:cs="Times New Roman"/>
                <w:color w:val="000000"/>
                <w:sz w:val="24"/>
                <w:szCs w:val="24"/>
              </w:rPr>
            </w:pPr>
            <w:r w:rsidRPr="00F92848">
              <w:rPr>
                <w:rFonts w:ascii="Aptos Narrow" w:hAnsi="Aptos Narrow"/>
                <w:color w:val="000000"/>
                <w:sz w:val="24"/>
                <w:szCs w:val="24"/>
              </w:rPr>
              <w:t>7.73</w:t>
            </w:r>
          </w:p>
        </w:tc>
        <w:tc>
          <w:tcPr>
            <w:tcW w:w="0" w:type="auto"/>
            <w:shd w:val="clear" w:color="auto" w:fill="auto"/>
            <w:noWrap/>
            <w:vAlign w:val="bottom"/>
            <w:hideMark/>
          </w:tcPr>
          <w:p w:rsidRPr="00F92848" w:rsidR="00355E17" w:rsidP="00355E17" w:rsidRDefault="00355E17" w14:paraId="2AA7E358" w14:textId="4D0922B4">
            <w:pPr>
              <w:spacing w:before="0" w:after="0" w:line="240" w:lineRule="auto"/>
              <w:rPr>
                <w:rFonts w:eastAsia="Times New Roman" w:cs="Times New Roman"/>
                <w:color w:val="000000"/>
                <w:sz w:val="24"/>
                <w:szCs w:val="24"/>
              </w:rPr>
            </w:pPr>
            <w:r w:rsidRPr="00F92848">
              <w:rPr>
                <w:rFonts w:ascii="Aptos Narrow" w:hAnsi="Aptos Narrow"/>
                <w:color w:val="000000"/>
                <w:sz w:val="24"/>
                <w:szCs w:val="24"/>
              </w:rPr>
              <w:t>7.65</w:t>
            </w:r>
          </w:p>
        </w:tc>
        <w:tc>
          <w:tcPr>
            <w:tcW w:w="0" w:type="auto"/>
            <w:shd w:val="clear" w:color="auto" w:fill="auto"/>
            <w:noWrap/>
            <w:vAlign w:val="bottom"/>
            <w:hideMark/>
          </w:tcPr>
          <w:p w:rsidRPr="00F92848" w:rsidR="00355E17" w:rsidP="00355E17" w:rsidRDefault="00355E17" w14:paraId="05C982E9" w14:textId="7B6133E0">
            <w:pPr>
              <w:spacing w:before="0" w:after="0" w:line="240" w:lineRule="auto"/>
              <w:rPr>
                <w:rFonts w:eastAsia="Times New Roman" w:cs="Times New Roman"/>
                <w:color w:val="000000"/>
                <w:sz w:val="24"/>
                <w:szCs w:val="24"/>
              </w:rPr>
            </w:pPr>
            <w:r w:rsidRPr="00F92848">
              <w:rPr>
                <w:rFonts w:ascii="Aptos Narrow" w:hAnsi="Aptos Narrow"/>
                <w:color w:val="000000"/>
                <w:sz w:val="24"/>
                <w:szCs w:val="24"/>
              </w:rPr>
              <w:t>0.04</w:t>
            </w:r>
          </w:p>
        </w:tc>
        <w:tc>
          <w:tcPr>
            <w:tcW w:w="0" w:type="auto"/>
            <w:shd w:val="clear" w:color="auto" w:fill="auto"/>
            <w:noWrap/>
            <w:vAlign w:val="bottom"/>
            <w:hideMark/>
          </w:tcPr>
          <w:p w:rsidRPr="00F92848" w:rsidR="00355E17" w:rsidP="00355E17" w:rsidRDefault="00355E17" w14:paraId="1EAFD341" w14:textId="1488AC22">
            <w:pPr>
              <w:spacing w:before="0" w:after="0" w:line="240" w:lineRule="auto"/>
              <w:rPr>
                <w:rFonts w:eastAsia="Times New Roman" w:cs="Times New Roman"/>
                <w:color w:val="000000"/>
                <w:sz w:val="24"/>
                <w:szCs w:val="24"/>
              </w:rPr>
            </w:pPr>
            <w:r w:rsidRPr="00F92848">
              <w:rPr>
                <w:rFonts w:ascii="Aptos Narrow" w:hAnsi="Aptos Narrow"/>
                <w:color w:val="000000"/>
                <w:sz w:val="24"/>
                <w:szCs w:val="24"/>
              </w:rPr>
              <w:t>7.73</w:t>
            </w:r>
          </w:p>
        </w:tc>
        <w:tc>
          <w:tcPr>
            <w:tcW w:w="0" w:type="auto"/>
            <w:shd w:val="clear" w:color="auto" w:fill="auto"/>
            <w:noWrap/>
            <w:vAlign w:val="bottom"/>
            <w:hideMark/>
          </w:tcPr>
          <w:p w:rsidRPr="00F92848" w:rsidR="00355E17" w:rsidP="00355E17" w:rsidRDefault="00355E17" w14:paraId="5A481757" w14:textId="732F5239">
            <w:pPr>
              <w:spacing w:before="0" w:after="0" w:line="240" w:lineRule="auto"/>
              <w:rPr>
                <w:rFonts w:eastAsia="Times New Roman" w:cs="Times New Roman"/>
                <w:color w:val="000000"/>
                <w:sz w:val="24"/>
                <w:szCs w:val="24"/>
              </w:rPr>
            </w:pPr>
            <w:r w:rsidRPr="00F92848">
              <w:rPr>
                <w:rFonts w:ascii="Aptos Narrow" w:hAnsi="Aptos Narrow"/>
                <w:color w:val="000000"/>
                <w:sz w:val="24"/>
                <w:szCs w:val="24"/>
              </w:rPr>
              <w:t>7.75</w:t>
            </w:r>
          </w:p>
        </w:tc>
        <w:tc>
          <w:tcPr>
            <w:tcW w:w="0" w:type="auto"/>
            <w:shd w:val="clear" w:color="auto" w:fill="auto"/>
            <w:noWrap/>
            <w:vAlign w:val="bottom"/>
            <w:hideMark/>
          </w:tcPr>
          <w:p w:rsidRPr="00F92848" w:rsidR="00355E17" w:rsidP="00355E17" w:rsidRDefault="00355E17" w14:paraId="1AB43D53" w14:textId="2FAF3D28">
            <w:pPr>
              <w:spacing w:before="0" w:after="0" w:line="240" w:lineRule="auto"/>
              <w:rPr>
                <w:rFonts w:eastAsia="Times New Roman" w:cs="Times New Roman"/>
                <w:color w:val="000000"/>
                <w:sz w:val="24"/>
                <w:szCs w:val="24"/>
              </w:rPr>
            </w:pPr>
            <w:r w:rsidRPr="00F92848">
              <w:rPr>
                <w:rFonts w:ascii="Aptos Narrow" w:hAnsi="Aptos Narrow"/>
                <w:color w:val="000000"/>
                <w:sz w:val="24"/>
                <w:szCs w:val="24"/>
              </w:rPr>
              <w:t>-0.01</w:t>
            </w:r>
          </w:p>
        </w:tc>
      </w:tr>
      <w:tr w:rsidRPr="00F92848" w:rsidR="00355E17" w:rsidTr="001F0504" w14:paraId="09B98736" w14:textId="77777777">
        <w:trPr>
          <w:trHeight w:val="288"/>
        </w:trPr>
        <w:tc>
          <w:tcPr>
            <w:tcW w:w="0" w:type="auto"/>
            <w:shd w:val="clear" w:color="auto" w:fill="auto"/>
            <w:noWrap/>
            <w:vAlign w:val="bottom"/>
            <w:hideMark/>
          </w:tcPr>
          <w:p w:rsidRPr="00F92848" w:rsidR="00355E17" w:rsidP="00355E17" w:rsidRDefault="00355E17" w14:paraId="3A618A06" w14:textId="77777777">
            <w:pPr>
              <w:spacing w:before="0" w:after="0" w:line="240" w:lineRule="auto"/>
              <w:rPr>
                <w:rFonts w:eastAsia="Times New Roman" w:cs="Times New Roman"/>
                <w:color w:val="000000"/>
                <w:sz w:val="24"/>
                <w:szCs w:val="24"/>
              </w:rPr>
            </w:pPr>
            <w:r w:rsidRPr="00F92848">
              <w:rPr>
                <w:rFonts w:eastAsia="Times New Roman" w:cs="Times New Roman"/>
                <w:color w:val="000000"/>
                <w:sz w:val="24"/>
                <w:szCs w:val="24"/>
              </w:rPr>
              <w:t>Gender</w:t>
            </w:r>
          </w:p>
        </w:tc>
        <w:tc>
          <w:tcPr>
            <w:tcW w:w="0" w:type="auto"/>
            <w:shd w:val="clear" w:color="auto" w:fill="auto"/>
            <w:noWrap/>
            <w:vAlign w:val="bottom"/>
            <w:hideMark/>
          </w:tcPr>
          <w:p w:rsidRPr="00F92848" w:rsidR="00355E17" w:rsidP="00355E17" w:rsidRDefault="00355E17" w14:paraId="4AF8D0C9" w14:textId="1052EECF">
            <w:pPr>
              <w:spacing w:before="0" w:after="0" w:line="240" w:lineRule="auto"/>
              <w:rPr>
                <w:rFonts w:eastAsia="Times New Roman" w:cs="Times New Roman"/>
                <w:color w:val="000000"/>
                <w:sz w:val="24"/>
                <w:szCs w:val="24"/>
              </w:rPr>
            </w:pPr>
            <w:r w:rsidRPr="00F92848">
              <w:rPr>
                <w:rFonts w:ascii="Aptos Narrow" w:hAnsi="Aptos Narrow"/>
                <w:color w:val="000000"/>
                <w:sz w:val="24"/>
                <w:szCs w:val="24"/>
              </w:rPr>
              <w:t>2.51</w:t>
            </w:r>
          </w:p>
        </w:tc>
        <w:tc>
          <w:tcPr>
            <w:tcW w:w="0" w:type="auto"/>
            <w:shd w:val="clear" w:color="auto" w:fill="auto"/>
            <w:noWrap/>
            <w:vAlign w:val="bottom"/>
            <w:hideMark/>
          </w:tcPr>
          <w:p w:rsidRPr="00F92848" w:rsidR="00355E17" w:rsidP="00355E17" w:rsidRDefault="00355E17" w14:paraId="466E893C" w14:textId="142B7486">
            <w:pPr>
              <w:spacing w:before="0" w:after="0" w:line="240" w:lineRule="auto"/>
              <w:rPr>
                <w:rFonts w:eastAsia="Times New Roman" w:cs="Times New Roman"/>
                <w:color w:val="000000"/>
                <w:sz w:val="24"/>
                <w:szCs w:val="24"/>
              </w:rPr>
            </w:pPr>
            <w:r w:rsidRPr="00F92848">
              <w:rPr>
                <w:rFonts w:ascii="Aptos Narrow" w:hAnsi="Aptos Narrow"/>
                <w:color w:val="000000"/>
                <w:sz w:val="24"/>
                <w:szCs w:val="24"/>
              </w:rPr>
              <w:t>2.42</w:t>
            </w:r>
          </w:p>
        </w:tc>
        <w:tc>
          <w:tcPr>
            <w:tcW w:w="0" w:type="auto"/>
            <w:shd w:val="clear" w:color="auto" w:fill="auto"/>
            <w:noWrap/>
            <w:vAlign w:val="bottom"/>
            <w:hideMark/>
          </w:tcPr>
          <w:p w:rsidRPr="00F92848" w:rsidR="00355E17" w:rsidP="00355E17" w:rsidRDefault="00355E17" w14:paraId="199390F3" w14:textId="4A5C4CFB">
            <w:pPr>
              <w:spacing w:before="0" w:after="0" w:line="240" w:lineRule="auto"/>
              <w:rPr>
                <w:rFonts w:eastAsia="Times New Roman" w:cs="Times New Roman"/>
                <w:color w:val="000000"/>
                <w:sz w:val="24"/>
                <w:szCs w:val="24"/>
              </w:rPr>
            </w:pPr>
            <w:r w:rsidRPr="00F92848">
              <w:rPr>
                <w:rFonts w:ascii="Aptos Narrow" w:hAnsi="Aptos Narrow"/>
                <w:color w:val="000000"/>
                <w:sz w:val="24"/>
                <w:szCs w:val="24"/>
              </w:rPr>
              <w:t>0.16</w:t>
            </w:r>
          </w:p>
        </w:tc>
        <w:tc>
          <w:tcPr>
            <w:tcW w:w="0" w:type="auto"/>
            <w:shd w:val="clear" w:color="auto" w:fill="auto"/>
            <w:noWrap/>
            <w:vAlign w:val="bottom"/>
            <w:hideMark/>
          </w:tcPr>
          <w:p w:rsidRPr="00F92848" w:rsidR="00355E17" w:rsidP="00355E17" w:rsidRDefault="00355E17" w14:paraId="4D2C7F10" w14:textId="3284372A">
            <w:pPr>
              <w:spacing w:before="0" w:after="0" w:line="240" w:lineRule="auto"/>
              <w:rPr>
                <w:rFonts w:eastAsia="Times New Roman" w:cs="Times New Roman"/>
                <w:color w:val="000000"/>
                <w:sz w:val="24"/>
                <w:szCs w:val="24"/>
              </w:rPr>
            </w:pPr>
            <w:r w:rsidRPr="00F92848">
              <w:rPr>
                <w:rFonts w:ascii="Aptos Narrow" w:hAnsi="Aptos Narrow"/>
                <w:color w:val="000000"/>
                <w:sz w:val="24"/>
                <w:szCs w:val="24"/>
              </w:rPr>
              <w:t>2.51</w:t>
            </w:r>
          </w:p>
        </w:tc>
        <w:tc>
          <w:tcPr>
            <w:tcW w:w="0" w:type="auto"/>
            <w:shd w:val="clear" w:color="auto" w:fill="auto"/>
            <w:noWrap/>
            <w:vAlign w:val="bottom"/>
            <w:hideMark/>
          </w:tcPr>
          <w:p w:rsidRPr="00F92848" w:rsidR="00355E17" w:rsidP="00355E17" w:rsidRDefault="00355E17" w14:paraId="3F1358E9" w14:textId="18FB649A">
            <w:pPr>
              <w:spacing w:before="0" w:after="0" w:line="240" w:lineRule="auto"/>
              <w:rPr>
                <w:rFonts w:eastAsia="Times New Roman" w:cs="Times New Roman"/>
                <w:color w:val="000000"/>
                <w:sz w:val="24"/>
                <w:szCs w:val="24"/>
              </w:rPr>
            </w:pPr>
            <w:r w:rsidRPr="00F92848">
              <w:rPr>
                <w:rFonts w:ascii="Aptos Narrow" w:hAnsi="Aptos Narrow"/>
                <w:color w:val="000000"/>
                <w:sz w:val="24"/>
                <w:szCs w:val="24"/>
              </w:rPr>
              <w:t>2.54</w:t>
            </w:r>
          </w:p>
        </w:tc>
        <w:tc>
          <w:tcPr>
            <w:tcW w:w="0" w:type="auto"/>
            <w:shd w:val="clear" w:color="auto" w:fill="auto"/>
            <w:noWrap/>
            <w:vAlign w:val="bottom"/>
            <w:hideMark/>
          </w:tcPr>
          <w:p w:rsidRPr="00F92848" w:rsidR="00355E17" w:rsidP="00355E17" w:rsidRDefault="00355E17" w14:paraId="6446C326" w14:textId="183AD727">
            <w:pPr>
              <w:spacing w:before="0" w:after="0" w:line="240" w:lineRule="auto"/>
              <w:rPr>
                <w:rFonts w:eastAsia="Times New Roman" w:cs="Times New Roman"/>
                <w:color w:val="000000"/>
                <w:sz w:val="24"/>
                <w:szCs w:val="24"/>
              </w:rPr>
            </w:pPr>
            <w:r w:rsidRPr="00F92848">
              <w:rPr>
                <w:rFonts w:ascii="Aptos Narrow" w:hAnsi="Aptos Narrow"/>
                <w:color w:val="000000"/>
                <w:sz w:val="24"/>
                <w:szCs w:val="24"/>
              </w:rPr>
              <w:t>-0.05</w:t>
            </w:r>
          </w:p>
        </w:tc>
      </w:tr>
      <w:tr w:rsidRPr="00F92848" w:rsidR="00355E17" w:rsidTr="001F0504" w14:paraId="2E52F368" w14:textId="77777777">
        <w:trPr>
          <w:trHeight w:val="288"/>
        </w:trPr>
        <w:tc>
          <w:tcPr>
            <w:tcW w:w="0" w:type="auto"/>
            <w:shd w:val="clear" w:color="auto" w:fill="auto"/>
            <w:noWrap/>
            <w:vAlign w:val="bottom"/>
            <w:hideMark/>
          </w:tcPr>
          <w:p w:rsidRPr="00F92848" w:rsidR="00355E17" w:rsidP="00355E17" w:rsidRDefault="00355E17" w14:paraId="2D84E681" w14:textId="77777777">
            <w:pPr>
              <w:spacing w:before="0" w:after="0" w:line="240" w:lineRule="auto"/>
              <w:rPr>
                <w:rFonts w:eastAsia="Times New Roman" w:cs="Times New Roman"/>
                <w:color w:val="000000"/>
                <w:sz w:val="24"/>
                <w:szCs w:val="24"/>
              </w:rPr>
            </w:pPr>
            <w:r w:rsidRPr="00F92848">
              <w:rPr>
                <w:rFonts w:eastAsia="Times New Roman" w:cs="Times New Roman"/>
                <w:color w:val="000000"/>
                <w:sz w:val="24"/>
                <w:szCs w:val="24"/>
              </w:rPr>
              <w:t>Course Enrollment</w:t>
            </w:r>
          </w:p>
        </w:tc>
        <w:tc>
          <w:tcPr>
            <w:tcW w:w="0" w:type="auto"/>
            <w:shd w:val="clear" w:color="auto" w:fill="auto"/>
            <w:noWrap/>
            <w:vAlign w:val="bottom"/>
            <w:hideMark/>
          </w:tcPr>
          <w:p w:rsidRPr="00F92848" w:rsidR="00355E17" w:rsidP="00355E17" w:rsidRDefault="00355E17" w14:paraId="5E8BAC11" w14:textId="117D5919">
            <w:pPr>
              <w:spacing w:before="0" w:after="0" w:line="240" w:lineRule="auto"/>
              <w:rPr>
                <w:rFonts w:eastAsia="Times New Roman" w:cs="Times New Roman"/>
                <w:color w:val="000000"/>
                <w:sz w:val="24"/>
                <w:szCs w:val="24"/>
              </w:rPr>
            </w:pPr>
            <w:r w:rsidRPr="00F92848">
              <w:rPr>
                <w:rFonts w:ascii="Aptos Narrow" w:hAnsi="Aptos Narrow"/>
                <w:color w:val="000000"/>
                <w:sz w:val="24"/>
                <w:szCs w:val="24"/>
              </w:rPr>
              <w:t>28.04</w:t>
            </w:r>
          </w:p>
        </w:tc>
        <w:tc>
          <w:tcPr>
            <w:tcW w:w="0" w:type="auto"/>
            <w:shd w:val="clear" w:color="auto" w:fill="auto"/>
            <w:noWrap/>
            <w:vAlign w:val="bottom"/>
            <w:hideMark/>
          </w:tcPr>
          <w:p w:rsidRPr="00F92848" w:rsidR="00355E17" w:rsidP="00355E17" w:rsidRDefault="00355E17" w14:paraId="2F54F3C6" w14:textId="115DA5A3">
            <w:pPr>
              <w:spacing w:before="0" w:after="0" w:line="240" w:lineRule="auto"/>
              <w:rPr>
                <w:rFonts w:eastAsia="Times New Roman" w:cs="Times New Roman"/>
                <w:color w:val="000000"/>
                <w:sz w:val="24"/>
                <w:szCs w:val="24"/>
              </w:rPr>
            </w:pPr>
            <w:r w:rsidRPr="00F92848">
              <w:rPr>
                <w:rFonts w:ascii="Aptos Narrow" w:hAnsi="Aptos Narrow"/>
                <w:color w:val="000000"/>
                <w:sz w:val="24"/>
                <w:szCs w:val="24"/>
              </w:rPr>
              <w:t>24.92</w:t>
            </w:r>
          </w:p>
        </w:tc>
        <w:tc>
          <w:tcPr>
            <w:tcW w:w="0" w:type="auto"/>
            <w:shd w:val="clear" w:color="auto" w:fill="auto"/>
            <w:noWrap/>
            <w:vAlign w:val="bottom"/>
            <w:hideMark/>
          </w:tcPr>
          <w:p w:rsidRPr="00F92848" w:rsidR="00355E17" w:rsidP="00355E17" w:rsidRDefault="00355E17" w14:paraId="6918C679" w14:textId="5C427362">
            <w:pPr>
              <w:spacing w:before="0" w:after="0" w:line="240" w:lineRule="auto"/>
              <w:rPr>
                <w:rFonts w:eastAsia="Times New Roman" w:cs="Times New Roman"/>
                <w:color w:val="000000"/>
                <w:sz w:val="24"/>
                <w:szCs w:val="24"/>
              </w:rPr>
            </w:pPr>
            <w:r w:rsidRPr="00F92848">
              <w:rPr>
                <w:rFonts w:ascii="Aptos Narrow" w:hAnsi="Aptos Narrow"/>
                <w:color w:val="000000"/>
                <w:sz w:val="24"/>
                <w:szCs w:val="24"/>
              </w:rPr>
              <w:t>0.12</w:t>
            </w:r>
          </w:p>
        </w:tc>
        <w:tc>
          <w:tcPr>
            <w:tcW w:w="0" w:type="auto"/>
            <w:shd w:val="clear" w:color="auto" w:fill="auto"/>
            <w:noWrap/>
            <w:vAlign w:val="bottom"/>
            <w:hideMark/>
          </w:tcPr>
          <w:p w:rsidRPr="00F92848" w:rsidR="00355E17" w:rsidP="00355E17" w:rsidRDefault="00355E17" w14:paraId="7682FE19" w14:textId="58B577A2">
            <w:pPr>
              <w:spacing w:before="0" w:after="0" w:line="240" w:lineRule="auto"/>
              <w:rPr>
                <w:rFonts w:eastAsia="Times New Roman" w:cs="Times New Roman"/>
                <w:color w:val="000000"/>
                <w:sz w:val="24"/>
                <w:szCs w:val="24"/>
              </w:rPr>
            </w:pPr>
            <w:r w:rsidRPr="00F92848">
              <w:rPr>
                <w:rFonts w:ascii="Aptos Narrow" w:hAnsi="Aptos Narrow"/>
                <w:color w:val="000000"/>
                <w:sz w:val="24"/>
                <w:szCs w:val="24"/>
              </w:rPr>
              <w:t>27.71</w:t>
            </w:r>
          </w:p>
        </w:tc>
        <w:tc>
          <w:tcPr>
            <w:tcW w:w="0" w:type="auto"/>
            <w:shd w:val="clear" w:color="auto" w:fill="auto"/>
            <w:noWrap/>
            <w:vAlign w:val="bottom"/>
            <w:hideMark/>
          </w:tcPr>
          <w:p w:rsidRPr="00F92848" w:rsidR="00355E17" w:rsidP="00355E17" w:rsidRDefault="00355E17" w14:paraId="1A5B05BD" w14:textId="6393DD24">
            <w:pPr>
              <w:spacing w:before="0" w:after="0" w:line="240" w:lineRule="auto"/>
              <w:rPr>
                <w:rFonts w:eastAsia="Times New Roman" w:cs="Times New Roman"/>
                <w:color w:val="000000"/>
                <w:sz w:val="24"/>
                <w:szCs w:val="24"/>
              </w:rPr>
            </w:pPr>
            <w:r w:rsidRPr="00F92848">
              <w:rPr>
                <w:rFonts w:ascii="Aptos Narrow" w:hAnsi="Aptos Narrow"/>
                <w:color w:val="000000"/>
                <w:sz w:val="24"/>
                <w:szCs w:val="24"/>
              </w:rPr>
              <w:t>25.87</w:t>
            </w:r>
          </w:p>
        </w:tc>
        <w:tc>
          <w:tcPr>
            <w:tcW w:w="0" w:type="auto"/>
            <w:shd w:val="clear" w:color="auto" w:fill="auto"/>
            <w:noWrap/>
            <w:vAlign w:val="bottom"/>
            <w:hideMark/>
          </w:tcPr>
          <w:p w:rsidRPr="00F92848" w:rsidR="00355E17" w:rsidP="00355E17" w:rsidRDefault="00355E17" w14:paraId="30F7D27E" w14:textId="67031D77">
            <w:pPr>
              <w:spacing w:before="0" w:after="0" w:line="240" w:lineRule="auto"/>
              <w:rPr>
                <w:rFonts w:eastAsia="Times New Roman" w:cs="Times New Roman"/>
                <w:color w:val="000000"/>
                <w:sz w:val="24"/>
                <w:szCs w:val="24"/>
              </w:rPr>
            </w:pPr>
            <w:r w:rsidRPr="00F92848">
              <w:rPr>
                <w:rFonts w:ascii="Aptos Narrow" w:hAnsi="Aptos Narrow"/>
                <w:color w:val="000000"/>
                <w:sz w:val="24"/>
                <w:szCs w:val="24"/>
              </w:rPr>
              <w:t>0.07</w:t>
            </w:r>
          </w:p>
        </w:tc>
      </w:tr>
    </w:tbl>
    <w:p w:rsidR="000A7607" w:rsidP="000A7607" w:rsidRDefault="000A7607" w14:paraId="3F50A922" w14:textId="77777777">
      <w:pPr>
        <w:pStyle w:val="NoSpacing"/>
        <w:rPr>
          <w:sz w:val="24"/>
          <w:szCs w:val="24"/>
        </w:rPr>
      </w:pPr>
    </w:p>
    <w:p w:rsidRPr="00630DB5" w:rsidR="00630DB5" w:rsidP="00630DB5" w:rsidRDefault="00630DB5" w14:paraId="61D5ED5A" w14:textId="40D7A1B1">
      <w:pPr>
        <w:spacing w:before="0" w:after="160" w:line="278" w:lineRule="auto"/>
        <w:rPr>
          <w:sz w:val="24"/>
          <w:szCs w:val="24"/>
        </w:rPr>
      </w:pPr>
      <w:r w:rsidRPr="00630DB5">
        <w:rPr>
          <w:sz w:val="24"/>
          <w:szCs w:val="24"/>
        </w:rPr>
        <w:t>Descriptive statistics revealed differences in DFQ</w:t>
      </w:r>
      <w:r w:rsidRPr="003C42E4">
        <w:rPr>
          <w:sz w:val="24"/>
          <w:szCs w:val="24"/>
        </w:rPr>
        <w:t xml:space="preserve"> </w:t>
      </w:r>
      <w:r w:rsidRPr="00630DB5">
        <w:rPr>
          <w:sz w:val="24"/>
          <w:szCs w:val="24"/>
        </w:rPr>
        <w:t>Rate across colleges and TIG groups</w:t>
      </w:r>
      <w:r w:rsidR="00BF5661">
        <w:rPr>
          <w:sz w:val="24"/>
          <w:szCs w:val="24"/>
        </w:rPr>
        <w:t xml:space="preserve"> (Table 6)</w:t>
      </w:r>
      <w:r w:rsidRPr="00630DB5">
        <w:rPr>
          <w:sz w:val="24"/>
          <w:szCs w:val="24"/>
        </w:rPr>
        <w:t xml:space="preserve">. Overall, students in the Science and Engineering Technology college reported the highest DFQ rate (M = 22.35%, SD = 20.87%, </w:t>
      </w:r>
      <w:r w:rsidRPr="00630DB5">
        <w:rPr>
          <w:i/>
          <w:iCs/>
          <w:sz w:val="24"/>
          <w:szCs w:val="24"/>
        </w:rPr>
        <w:t>N</w:t>
      </w:r>
      <w:r w:rsidRPr="00630DB5">
        <w:rPr>
          <w:sz w:val="24"/>
          <w:szCs w:val="24"/>
        </w:rPr>
        <w:t xml:space="preserve"> = 579), followed by Humanities and Social Sciences (M = 15.12%, SD = 14.35%, </w:t>
      </w:r>
      <w:r w:rsidRPr="00630DB5">
        <w:rPr>
          <w:i/>
          <w:iCs/>
          <w:sz w:val="24"/>
          <w:szCs w:val="24"/>
        </w:rPr>
        <w:t>N</w:t>
      </w:r>
      <w:r w:rsidRPr="00630DB5">
        <w:rPr>
          <w:sz w:val="24"/>
          <w:szCs w:val="24"/>
        </w:rPr>
        <w:t xml:space="preserve"> = 342), and Business Administration (M = 13.09%, SD = 11.63%, </w:t>
      </w:r>
      <w:r w:rsidRPr="00630DB5">
        <w:rPr>
          <w:i/>
          <w:iCs/>
          <w:sz w:val="24"/>
          <w:szCs w:val="24"/>
        </w:rPr>
        <w:t>N</w:t>
      </w:r>
      <w:r w:rsidRPr="00630DB5">
        <w:rPr>
          <w:sz w:val="24"/>
          <w:szCs w:val="24"/>
        </w:rPr>
        <w:t xml:space="preserve"> = 131). The lowest DFQ rates were observed in Education (M = 3.01%, SD = 5.73%, </w:t>
      </w:r>
      <w:r w:rsidRPr="00630DB5">
        <w:rPr>
          <w:i/>
          <w:iCs/>
          <w:sz w:val="24"/>
          <w:szCs w:val="24"/>
        </w:rPr>
        <w:t>N</w:t>
      </w:r>
      <w:r w:rsidRPr="00630DB5">
        <w:rPr>
          <w:sz w:val="24"/>
          <w:szCs w:val="24"/>
        </w:rPr>
        <w:t xml:space="preserve"> = 103).</w:t>
      </w:r>
    </w:p>
    <w:p w:rsidRPr="00630DB5" w:rsidR="00630DB5" w:rsidP="00630DB5" w:rsidRDefault="00630DB5" w14:paraId="70248F6A" w14:textId="3BF85272">
      <w:pPr>
        <w:spacing w:after="160" w:line="278" w:lineRule="auto"/>
        <w:rPr>
          <w:sz w:val="24"/>
          <w:szCs w:val="24"/>
        </w:rPr>
      </w:pPr>
      <w:r w:rsidRPr="00630DB5">
        <w:rPr>
          <w:sz w:val="24"/>
          <w:szCs w:val="24"/>
        </w:rPr>
        <w:lastRenderedPageBreak/>
        <w:t xml:space="preserve">When disaggregated by TIG </w:t>
      </w:r>
      <w:r w:rsidR="00F92848">
        <w:rPr>
          <w:sz w:val="24"/>
          <w:szCs w:val="24"/>
        </w:rPr>
        <w:t>and Non-TIG</w:t>
      </w:r>
      <w:r w:rsidRPr="00630DB5">
        <w:rPr>
          <w:sz w:val="24"/>
          <w:szCs w:val="24"/>
        </w:rPr>
        <w:t xml:space="preserve">, students in the </w:t>
      </w:r>
      <w:r w:rsidR="00F92848">
        <w:rPr>
          <w:sz w:val="24"/>
          <w:szCs w:val="24"/>
        </w:rPr>
        <w:t xml:space="preserve">TIG group </w:t>
      </w:r>
      <w:r w:rsidRPr="00630DB5">
        <w:rPr>
          <w:sz w:val="24"/>
          <w:szCs w:val="24"/>
        </w:rPr>
        <w:t xml:space="preserve">generally had slightly lower DFQ rates across most colleges. For instance, Education showed a drop from 3.40% (SD = 6.18%) in </w:t>
      </w:r>
      <w:proofErr w:type="gramStart"/>
      <w:r w:rsidRPr="00630DB5">
        <w:rPr>
          <w:sz w:val="24"/>
          <w:szCs w:val="24"/>
        </w:rPr>
        <w:t>TIG  to</w:t>
      </w:r>
      <w:proofErr w:type="gramEnd"/>
      <w:r w:rsidRPr="00630DB5">
        <w:rPr>
          <w:sz w:val="24"/>
          <w:szCs w:val="24"/>
        </w:rPr>
        <w:t xml:space="preserve"> 2.33% (SD = 4.84%)</w:t>
      </w:r>
      <w:r w:rsidR="00F92848">
        <w:rPr>
          <w:sz w:val="24"/>
          <w:szCs w:val="24"/>
        </w:rPr>
        <w:t xml:space="preserve"> </w:t>
      </w:r>
      <w:r w:rsidRPr="003C42E4">
        <w:rPr>
          <w:sz w:val="24"/>
          <w:szCs w:val="24"/>
        </w:rPr>
        <w:t xml:space="preserve">and the College of Humanities </w:t>
      </w:r>
      <w:r w:rsidRPr="003C42E4" w:rsidR="00246ADB">
        <w:rPr>
          <w:sz w:val="24"/>
          <w:szCs w:val="24"/>
        </w:rPr>
        <w:t xml:space="preserve">dropped from </w:t>
      </w:r>
      <w:r w:rsidRPr="003C42E4" w:rsidR="00A7250A">
        <w:rPr>
          <w:sz w:val="24"/>
          <w:szCs w:val="24"/>
        </w:rPr>
        <w:t>17.60% to 12.37%</w:t>
      </w:r>
      <w:r w:rsidRPr="00630DB5">
        <w:rPr>
          <w:sz w:val="24"/>
          <w:szCs w:val="24"/>
        </w:rPr>
        <w:t xml:space="preserve">. The overall DFQ rate was slightly lower in the treatment group (M = 15.41%, SD = 16.17%, </w:t>
      </w:r>
      <w:r w:rsidRPr="00630DB5">
        <w:rPr>
          <w:i/>
          <w:iCs/>
          <w:sz w:val="24"/>
          <w:szCs w:val="24"/>
        </w:rPr>
        <w:t>N</w:t>
      </w:r>
      <w:r w:rsidRPr="00630DB5">
        <w:rPr>
          <w:sz w:val="24"/>
          <w:szCs w:val="24"/>
        </w:rPr>
        <w:t xml:space="preserve"> = 732) compared to the control group (M = 16.16%, SD = 18.20%, </w:t>
      </w:r>
      <w:r w:rsidRPr="00630DB5">
        <w:rPr>
          <w:i/>
          <w:iCs/>
          <w:sz w:val="24"/>
          <w:szCs w:val="24"/>
        </w:rPr>
        <w:t>N</w:t>
      </w:r>
      <w:r w:rsidRPr="00630DB5">
        <w:rPr>
          <w:sz w:val="24"/>
          <w:szCs w:val="24"/>
        </w:rPr>
        <w:t xml:space="preserve"> = 729).</w:t>
      </w:r>
    </w:p>
    <w:p w:rsidRPr="00630DB5" w:rsidR="00630DB5" w:rsidP="00630DB5" w:rsidRDefault="00630DB5" w14:paraId="765D3CC2" w14:textId="6916FADC">
      <w:pPr>
        <w:spacing w:before="0" w:after="160" w:line="278" w:lineRule="auto"/>
        <w:rPr>
          <w:sz w:val="24"/>
          <w:szCs w:val="24"/>
        </w:rPr>
      </w:pPr>
      <w:r w:rsidRPr="00630DB5">
        <w:rPr>
          <w:sz w:val="24"/>
          <w:szCs w:val="24"/>
        </w:rPr>
        <w:t xml:space="preserve">Ratings of Excellent Teacher were consistently high across colleges. Students in Education and Arts and Media gave the highest ratings in the </w:t>
      </w:r>
      <w:r w:rsidR="00F92848">
        <w:rPr>
          <w:sz w:val="24"/>
          <w:szCs w:val="24"/>
        </w:rPr>
        <w:t>TIG</w:t>
      </w:r>
      <w:r w:rsidRPr="00630DB5">
        <w:rPr>
          <w:sz w:val="24"/>
          <w:szCs w:val="24"/>
        </w:rPr>
        <w:t xml:space="preserve"> group, with means of 4.51 (SD = 0.31) and 4.51 (SD = 0.76), respectively. In the </w:t>
      </w:r>
      <w:proofErr w:type="gramStart"/>
      <w:r w:rsidR="00F92848">
        <w:rPr>
          <w:sz w:val="24"/>
          <w:szCs w:val="24"/>
        </w:rPr>
        <w:t>Non-TIG</w:t>
      </w:r>
      <w:proofErr w:type="gramEnd"/>
      <w:r w:rsidR="00F92848">
        <w:rPr>
          <w:sz w:val="24"/>
          <w:szCs w:val="24"/>
        </w:rPr>
        <w:t xml:space="preserve"> </w:t>
      </w:r>
      <w:r w:rsidRPr="00630DB5">
        <w:rPr>
          <w:sz w:val="24"/>
          <w:szCs w:val="24"/>
        </w:rPr>
        <w:t>group Criminal Justice and Education also had high ratings: 4.51 (SD = 0.47) and 4.42 (SD = 0.67), respectively</w:t>
      </w:r>
      <w:r w:rsidR="00BF5661">
        <w:rPr>
          <w:sz w:val="24"/>
          <w:szCs w:val="24"/>
        </w:rPr>
        <w:t xml:space="preserve"> (Table </w:t>
      </w:r>
      <w:r w:rsidR="00F92848">
        <w:rPr>
          <w:sz w:val="24"/>
          <w:szCs w:val="24"/>
        </w:rPr>
        <w:t>9</w:t>
      </w:r>
      <w:r w:rsidR="00BF5661">
        <w:rPr>
          <w:sz w:val="24"/>
          <w:szCs w:val="24"/>
        </w:rPr>
        <w:t>)</w:t>
      </w:r>
      <w:r w:rsidRPr="00630DB5">
        <w:rPr>
          <w:sz w:val="24"/>
          <w:szCs w:val="24"/>
        </w:rPr>
        <w:t>.</w:t>
      </w:r>
    </w:p>
    <w:p w:rsidRPr="003C42E4" w:rsidR="00630DB5" w:rsidP="00630DB5" w:rsidRDefault="00630DB5" w14:paraId="71F0E2CC" w14:textId="77777777">
      <w:pPr>
        <w:rPr>
          <w:sz w:val="24"/>
          <w:szCs w:val="24"/>
        </w:rPr>
      </w:pPr>
      <w:r w:rsidRPr="00630DB5">
        <w:rPr>
          <w:sz w:val="24"/>
          <w:szCs w:val="24"/>
        </w:rPr>
        <w:t xml:space="preserve">Overall, students in the treatment group rated their instructors slightly higher (M = 4.33, SD = 0.62, </w:t>
      </w:r>
      <w:r w:rsidRPr="00630DB5">
        <w:rPr>
          <w:i/>
          <w:iCs/>
          <w:sz w:val="24"/>
          <w:szCs w:val="24"/>
        </w:rPr>
        <w:t>N</w:t>
      </w:r>
      <w:r w:rsidRPr="00630DB5">
        <w:rPr>
          <w:sz w:val="24"/>
          <w:szCs w:val="24"/>
        </w:rPr>
        <w:t xml:space="preserve"> = 732) than those in the control group (M = 4.22, SD = 0.70, </w:t>
      </w:r>
      <w:r w:rsidRPr="00630DB5">
        <w:rPr>
          <w:i/>
          <w:iCs/>
          <w:sz w:val="24"/>
          <w:szCs w:val="24"/>
        </w:rPr>
        <w:t>N</w:t>
      </w:r>
      <w:r w:rsidRPr="00630DB5">
        <w:rPr>
          <w:sz w:val="24"/>
          <w:szCs w:val="24"/>
        </w:rPr>
        <w:t xml:space="preserve"> = 729), suggesting a small but consistent positive effect of the treatment on teacher evaluations.</w:t>
      </w:r>
    </w:p>
    <w:p w:rsidRPr="003C42E4" w:rsidR="00A02E24" w:rsidP="00A02E24" w:rsidRDefault="00A02E24" w14:paraId="6BBB0034" w14:textId="6C411CED">
      <w:pPr>
        <w:spacing w:after="0" w:line="240" w:lineRule="auto"/>
        <w:rPr>
          <w:rFonts w:eastAsia="Times New Roman" w:cs="Times New Roman"/>
          <w:color w:val="000000"/>
          <w:sz w:val="24"/>
          <w:szCs w:val="24"/>
        </w:rPr>
      </w:pPr>
      <w:r w:rsidRPr="003C42E4">
        <w:rPr>
          <w:rFonts w:eastAsia="Times New Roman" w:cs="Times New Roman"/>
          <w:color w:val="000000"/>
          <w:sz w:val="24"/>
          <w:szCs w:val="24"/>
        </w:rPr>
        <w:t xml:space="preserve">Table </w:t>
      </w:r>
      <w:r w:rsidR="00FF3E21">
        <w:rPr>
          <w:rFonts w:eastAsia="Times New Roman" w:cs="Times New Roman"/>
          <w:color w:val="000000"/>
          <w:sz w:val="24"/>
          <w:szCs w:val="24"/>
        </w:rPr>
        <w:t>8</w:t>
      </w:r>
    </w:p>
    <w:p w:rsidRPr="003C42E4" w:rsidR="00B27EFB" w:rsidP="00B27EFB" w:rsidRDefault="00B27EFB" w14:paraId="72FDD192" w14:textId="19AE330B">
      <w:pPr>
        <w:pStyle w:val="NoSpacing"/>
        <w:rPr>
          <w:i/>
          <w:iCs/>
          <w:sz w:val="24"/>
          <w:szCs w:val="24"/>
        </w:rPr>
      </w:pPr>
      <w:r w:rsidRPr="003C42E4">
        <w:rPr>
          <w:i/>
          <w:iCs/>
          <w:sz w:val="24"/>
          <w:szCs w:val="24"/>
        </w:rPr>
        <w:t>Student DFQ Rate by College and</w:t>
      </w:r>
      <w:r>
        <w:rPr>
          <w:i/>
          <w:iCs/>
          <w:sz w:val="24"/>
          <w:szCs w:val="24"/>
        </w:rPr>
        <w:t xml:space="preserve"> TIG</w:t>
      </w:r>
      <w:r w:rsidRPr="003C42E4">
        <w:rPr>
          <w:i/>
          <w:iCs/>
          <w:sz w:val="24"/>
          <w:szCs w:val="24"/>
        </w:rPr>
        <w:t xml:space="preserve"> Participation</w:t>
      </w:r>
    </w:p>
    <w:tbl>
      <w:tblPr>
        <w:tblW w:w="5000" w:type="pct"/>
        <w:tblLook w:val="04A0" w:firstRow="1" w:lastRow="0" w:firstColumn="1" w:lastColumn="0" w:noHBand="0" w:noVBand="1"/>
      </w:tblPr>
      <w:tblGrid>
        <w:gridCol w:w="4351"/>
        <w:gridCol w:w="1088"/>
        <w:gridCol w:w="1088"/>
        <w:gridCol w:w="1088"/>
        <w:gridCol w:w="1088"/>
        <w:gridCol w:w="657"/>
      </w:tblGrid>
      <w:tr w:rsidRPr="003C42E4" w:rsidR="00BF5661" w:rsidTr="00A70639" w14:paraId="452EDE92" w14:textId="77777777">
        <w:trPr>
          <w:trHeight w:val="288"/>
        </w:trPr>
        <w:tc>
          <w:tcPr>
            <w:tcW w:w="2324" w:type="pct"/>
            <w:tcBorders>
              <w:top w:val="single" w:color="auto" w:sz="4" w:space="0"/>
              <w:left w:val="nil"/>
              <w:right w:val="nil"/>
            </w:tcBorders>
            <w:shd w:val="clear" w:color="auto" w:fill="auto"/>
            <w:noWrap/>
            <w:vAlign w:val="bottom"/>
            <w:hideMark/>
          </w:tcPr>
          <w:p w:rsidRPr="0028343A" w:rsidR="00BF5661" w:rsidP="00482557" w:rsidRDefault="00BF5661" w14:paraId="3E7F1541" w14:textId="33846058">
            <w:pPr>
              <w:spacing w:after="0" w:line="240" w:lineRule="auto"/>
              <w:rPr>
                <w:rFonts w:eastAsia="Times New Roman" w:cs="Times New Roman"/>
                <w:color w:val="000000"/>
                <w:sz w:val="24"/>
                <w:szCs w:val="24"/>
              </w:rPr>
            </w:pPr>
          </w:p>
        </w:tc>
        <w:tc>
          <w:tcPr>
            <w:tcW w:w="581" w:type="pct"/>
            <w:tcBorders>
              <w:top w:val="single" w:color="auto" w:sz="4" w:space="0"/>
              <w:left w:val="nil"/>
              <w:bottom w:val="single" w:color="auto" w:sz="4" w:space="0"/>
              <w:right w:val="nil"/>
            </w:tcBorders>
            <w:shd w:val="clear" w:color="auto" w:fill="auto"/>
            <w:noWrap/>
            <w:vAlign w:val="bottom"/>
          </w:tcPr>
          <w:p w:rsidRPr="00A70639" w:rsidR="00BF5661" w:rsidP="00482557" w:rsidRDefault="00A70639" w14:paraId="2C5F2CF4" w14:textId="04A863D4">
            <w:pPr>
              <w:spacing w:after="0" w:line="240" w:lineRule="auto"/>
              <w:rPr>
                <w:rFonts w:eastAsia="Times New Roman" w:cs="Times New Roman"/>
                <w:color w:val="000000"/>
                <w:sz w:val="24"/>
                <w:szCs w:val="24"/>
              </w:rPr>
            </w:pPr>
            <w:r w:rsidRPr="00A70639">
              <w:rPr>
                <w:rFonts w:eastAsia="Times New Roman" w:cs="Times New Roman"/>
                <w:color w:val="000000"/>
                <w:sz w:val="24"/>
                <w:szCs w:val="24"/>
              </w:rPr>
              <w:t>Non-TIG</w:t>
            </w:r>
          </w:p>
        </w:tc>
        <w:tc>
          <w:tcPr>
            <w:tcW w:w="581" w:type="pct"/>
            <w:tcBorders>
              <w:top w:val="single" w:color="auto" w:sz="4" w:space="0"/>
              <w:left w:val="nil"/>
              <w:bottom w:val="single" w:color="auto" w:sz="4" w:space="0"/>
              <w:right w:val="nil"/>
            </w:tcBorders>
            <w:shd w:val="clear" w:color="auto" w:fill="auto"/>
            <w:noWrap/>
            <w:vAlign w:val="bottom"/>
          </w:tcPr>
          <w:p w:rsidRPr="00A70639" w:rsidR="00BF5661" w:rsidP="00482557" w:rsidRDefault="00BF5661" w14:paraId="5A4C4FA0" w14:textId="7E981739">
            <w:pPr>
              <w:spacing w:after="0" w:line="240" w:lineRule="auto"/>
              <w:rPr>
                <w:rFonts w:eastAsia="Times New Roman" w:cs="Times New Roman"/>
                <w:color w:val="000000"/>
                <w:sz w:val="24"/>
                <w:szCs w:val="24"/>
              </w:rPr>
            </w:pPr>
          </w:p>
        </w:tc>
        <w:tc>
          <w:tcPr>
            <w:tcW w:w="581" w:type="pct"/>
            <w:tcBorders>
              <w:top w:val="single" w:color="auto" w:sz="4" w:space="0"/>
              <w:left w:val="nil"/>
              <w:bottom w:val="single" w:color="auto" w:sz="4" w:space="0"/>
              <w:right w:val="nil"/>
            </w:tcBorders>
            <w:shd w:val="clear" w:color="auto" w:fill="auto"/>
            <w:noWrap/>
            <w:vAlign w:val="bottom"/>
          </w:tcPr>
          <w:p w:rsidRPr="00A70639" w:rsidR="00BF5661" w:rsidP="00482557" w:rsidRDefault="00A70639" w14:paraId="3C9795CD" w14:textId="14845382">
            <w:pPr>
              <w:spacing w:after="0" w:line="240" w:lineRule="auto"/>
              <w:rPr>
                <w:rFonts w:eastAsia="Times New Roman" w:cs="Times New Roman"/>
                <w:color w:val="000000"/>
                <w:sz w:val="24"/>
                <w:szCs w:val="24"/>
              </w:rPr>
            </w:pPr>
            <w:r w:rsidRPr="00A70639">
              <w:rPr>
                <w:rFonts w:eastAsia="Times New Roman" w:cs="Times New Roman"/>
                <w:color w:val="000000"/>
                <w:sz w:val="24"/>
                <w:szCs w:val="24"/>
              </w:rPr>
              <w:t>TIG</w:t>
            </w:r>
          </w:p>
        </w:tc>
        <w:tc>
          <w:tcPr>
            <w:tcW w:w="581" w:type="pct"/>
            <w:tcBorders>
              <w:top w:val="single" w:color="auto" w:sz="4" w:space="0"/>
              <w:left w:val="nil"/>
              <w:bottom w:val="single" w:color="auto" w:sz="4" w:space="0"/>
              <w:right w:val="nil"/>
            </w:tcBorders>
            <w:shd w:val="clear" w:color="auto" w:fill="auto"/>
            <w:noWrap/>
            <w:vAlign w:val="bottom"/>
          </w:tcPr>
          <w:p w:rsidRPr="0028343A" w:rsidR="00BF5661" w:rsidP="00482557" w:rsidRDefault="00BF5661" w14:paraId="1E5AA9CC" w14:textId="500C6DEC">
            <w:pPr>
              <w:spacing w:after="0" w:line="240" w:lineRule="auto"/>
              <w:rPr>
                <w:rFonts w:eastAsia="Times New Roman" w:cs="Times New Roman"/>
                <w:i/>
                <w:iCs/>
                <w:color w:val="000000"/>
                <w:sz w:val="24"/>
                <w:szCs w:val="24"/>
              </w:rPr>
            </w:pPr>
          </w:p>
        </w:tc>
        <w:tc>
          <w:tcPr>
            <w:tcW w:w="351" w:type="pct"/>
            <w:tcBorders>
              <w:top w:val="single" w:color="auto" w:sz="4" w:space="0"/>
              <w:left w:val="nil"/>
              <w:bottom w:val="single" w:color="auto" w:sz="4" w:space="0"/>
              <w:right w:val="nil"/>
            </w:tcBorders>
            <w:vAlign w:val="bottom"/>
          </w:tcPr>
          <w:p w:rsidRPr="003C42E4" w:rsidR="00BF5661" w:rsidP="00482557" w:rsidRDefault="00BF5661" w14:paraId="1730C629" w14:textId="3E5B4FAD">
            <w:pPr>
              <w:spacing w:after="0" w:line="240" w:lineRule="auto"/>
              <w:rPr>
                <w:rFonts w:eastAsia="Times New Roman" w:cs="Times New Roman"/>
                <w:i/>
                <w:iCs/>
                <w:color w:val="000000"/>
                <w:sz w:val="24"/>
                <w:szCs w:val="24"/>
              </w:rPr>
            </w:pPr>
          </w:p>
        </w:tc>
      </w:tr>
      <w:tr w:rsidRPr="003C42E4" w:rsidR="00A70639" w:rsidTr="00A70639" w14:paraId="148533C1" w14:textId="77777777">
        <w:trPr>
          <w:trHeight w:val="288"/>
        </w:trPr>
        <w:tc>
          <w:tcPr>
            <w:tcW w:w="2324" w:type="pct"/>
            <w:tcBorders>
              <w:left w:val="nil"/>
              <w:bottom w:val="single" w:color="auto" w:sz="4" w:space="0"/>
              <w:right w:val="nil"/>
            </w:tcBorders>
            <w:shd w:val="clear" w:color="auto" w:fill="auto"/>
            <w:noWrap/>
            <w:vAlign w:val="bottom"/>
          </w:tcPr>
          <w:p w:rsidRPr="0028343A" w:rsidR="00A70639" w:rsidP="00A70639" w:rsidRDefault="00A70639" w14:paraId="40303A3B" w14:textId="08B963D9">
            <w:pPr>
              <w:spacing w:after="0" w:line="240" w:lineRule="auto"/>
              <w:rPr>
                <w:rFonts w:eastAsia="Times New Roman" w:cs="Times New Roman"/>
                <w:color w:val="000000"/>
                <w:sz w:val="24"/>
                <w:szCs w:val="24"/>
              </w:rPr>
            </w:pPr>
            <w:r w:rsidRPr="0028343A">
              <w:rPr>
                <w:rFonts w:eastAsia="Times New Roman" w:cs="Times New Roman"/>
                <w:color w:val="000000"/>
                <w:sz w:val="24"/>
                <w:szCs w:val="24"/>
              </w:rPr>
              <w:t>College</w:t>
            </w:r>
          </w:p>
        </w:tc>
        <w:tc>
          <w:tcPr>
            <w:tcW w:w="581" w:type="pct"/>
            <w:tcBorders>
              <w:top w:val="single" w:color="auto" w:sz="4" w:space="0"/>
              <w:left w:val="nil"/>
              <w:bottom w:val="single" w:color="auto" w:sz="4" w:space="0"/>
              <w:right w:val="nil"/>
            </w:tcBorders>
            <w:shd w:val="clear" w:color="auto" w:fill="auto"/>
            <w:noWrap/>
            <w:vAlign w:val="bottom"/>
          </w:tcPr>
          <w:p w:rsidRPr="0028343A" w:rsidR="00A70639" w:rsidP="00A70639" w:rsidRDefault="00A70639" w14:paraId="1536B81C" w14:textId="4B382E55">
            <w:pPr>
              <w:spacing w:after="0" w:line="240" w:lineRule="auto"/>
              <w:rPr>
                <w:rFonts w:eastAsia="Times New Roman" w:cs="Times New Roman"/>
                <w:i/>
                <w:iCs/>
                <w:color w:val="000000"/>
                <w:sz w:val="24"/>
                <w:szCs w:val="24"/>
              </w:rPr>
            </w:pPr>
            <w:r w:rsidRPr="0028343A">
              <w:rPr>
                <w:rFonts w:eastAsia="Times New Roman" w:cs="Times New Roman"/>
                <w:i/>
                <w:iCs/>
                <w:color w:val="000000"/>
                <w:sz w:val="24"/>
                <w:szCs w:val="24"/>
              </w:rPr>
              <w:t>M</w:t>
            </w:r>
          </w:p>
        </w:tc>
        <w:tc>
          <w:tcPr>
            <w:tcW w:w="581" w:type="pct"/>
            <w:tcBorders>
              <w:top w:val="single" w:color="auto" w:sz="4" w:space="0"/>
              <w:left w:val="nil"/>
              <w:bottom w:val="single" w:color="auto" w:sz="4" w:space="0"/>
              <w:right w:val="nil"/>
            </w:tcBorders>
            <w:shd w:val="clear" w:color="auto" w:fill="auto"/>
            <w:noWrap/>
            <w:vAlign w:val="bottom"/>
          </w:tcPr>
          <w:p w:rsidRPr="0028343A" w:rsidR="00A70639" w:rsidP="00A70639" w:rsidRDefault="00A70639" w14:paraId="6F41D95E" w14:textId="45565D0D">
            <w:pPr>
              <w:spacing w:after="0" w:line="240" w:lineRule="auto"/>
              <w:rPr>
                <w:rFonts w:eastAsia="Times New Roman" w:cs="Times New Roman"/>
                <w:i/>
                <w:iCs/>
                <w:color w:val="000000"/>
                <w:sz w:val="24"/>
                <w:szCs w:val="24"/>
              </w:rPr>
            </w:pPr>
            <w:r w:rsidRPr="0028343A">
              <w:rPr>
                <w:rFonts w:eastAsia="Times New Roman" w:cs="Times New Roman"/>
                <w:i/>
                <w:iCs/>
                <w:color w:val="000000"/>
                <w:sz w:val="24"/>
                <w:szCs w:val="24"/>
              </w:rPr>
              <w:t>SD</w:t>
            </w:r>
          </w:p>
        </w:tc>
        <w:tc>
          <w:tcPr>
            <w:tcW w:w="581" w:type="pct"/>
            <w:tcBorders>
              <w:top w:val="single" w:color="auto" w:sz="4" w:space="0"/>
              <w:left w:val="nil"/>
              <w:bottom w:val="single" w:color="auto" w:sz="4" w:space="0"/>
              <w:right w:val="nil"/>
            </w:tcBorders>
            <w:shd w:val="clear" w:color="auto" w:fill="auto"/>
            <w:noWrap/>
            <w:vAlign w:val="bottom"/>
          </w:tcPr>
          <w:p w:rsidRPr="0028343A" w:rsidR="00A70639" w:rsidP="00A70639" w:rsidRDefault="00A70639" w14:paraId="4C3CEB20" w14:textId="1D3CA453">
            <w:pPr>
              <w:spacing w:after="0" w:line="240" w:lineRule="auto"/>
              <w:rPr>
                <w:rFonts w:eastAsia="Times New Roman" w:cs="Times New Roman"/>
                <w:i/>
                <w:iCs/>
                <w:color w:val="000000"/>
                <w:sz w:val="24"/>
                <w:szCs w:val="24"/>
              </w:rPr>
            </w:pPr>
            <w:r w:rsidRPr="0028343A">
              <w:rPr>
                <w:rFonts w:eastAsia="Times New Roman" w:cs="Times New Roman"/>
                <w:i/>
                <w:iCs/>
                <w:color w:val="000000"/>
                <w:sz w:val="24"/>
                <w:szCs w:val="24"/>
              </w:rPr>
              <w:t>M</w:t>
            </w:r>
          </w:p>
        </w:tc>
        <w:tc>
          <w:tcPr>
            <w:tcW w:w="581" w:type="pct"/>
            <w:tcBorders>
              <w:top w:val="single" w:color="auto" w:sz="4" w:space="0"/>
              <w:left w:val="nil"/>
              <w:bottom w:val="single" w:color="auto" w:sz="4" w:space="0"/>
              <w:right w:val="nil"/>
            </w:tcBorders>
            <w:shd w:val="clear" w:color="auto" w:fill="auto"/>
            <w:noWrap/>
            <w:vAlign w:val="bottom"/>
          </w:tcPr>
          <w:p w:rsidRPr="0028343A" w:rsidR="00A70639" w:rsidP="00A70639" w:rsidRDefault="00A70639" w14:paraId="58150DC1" w14:textId="3A78CD82">
            <w:pPr>
              <w:spacing w:after="0" w:line="240" w:lineRule="auto"/>
              <w:rPr>
                <w:rFonts w:eastAsia="Times New Roman" w:cs="Times New Roman"/>
                <w:i/>
                <w:iCs/>
                <w:color w:val="000000"/>
                <w:sz w:val="24"/>
                <w:szCs w:val="24"/>
              </w:rPr>
            </w:pPr>
            <w:r w:rsidRPr="0028343A">
              <w:rPr>
                <w:rFonts w:eastAsia="Times New Roman" w:cs="Times New Roman"/>
                <w:i/>
                <w:iCs/>
                <w:color w:val="000000"/>
                <w:sz w:val="24"/>
                <w:szCs w:val="24"/>
              </w:rPr>
              <w:t>SD</w:t>
            </w:r>
          </w:p>
        </w:tc>
        <w:tc>
          <w:tcPr>
            <w:tcW w:w="351" w:type="pct"/>
            <w:tcBorders>
              <w:top w:val="single" w:color="auto" w:sz="4" w:space="0"/>
              <w:left w:val="nil"/>
              <w:bottom w:val="single" w:color="auto" w:sz="4" w:space="0"/>
              <w:right w:val="nil"/>
            </w:tcBorders>
            <w:vAlign w:val="bottom"/>
          </w:tcPr>
          <w:p w:rsidRPr="0028343A" w:rsidR="00A70639" w:rsidP="00A70639" w:rsidRDefault="00A70639" w14:paraId="3ABD8ADE" w14:textId="4770C766">
            <w:pPr>
              <w:spacing w:after="0" w:line="240" w:lineRule="auto"/>
              <w:rPr>
                <w:rFonts w:eastAsia="Times New Roman" w:cs="Times New Roman"/>
                <w:i/>
                <w:iCs/>
                <w:color w:val="000000"/>
                <w:sz w:val="24"/>
                <w:szCs w:val="24"/>
              </w:rPr>
            </w:pPr>
            <w:r w:rsidRPr="0028343A">
              <w:rPr>
                <w:rFonts w:eastAsia="Times New Roman" w:cs="Times New Roman"/>
                <w:i/>
                <w:iCs/>
                <w:color w:val="000000"/>
                <w:sz w:val="24"/>
                <w:szCs w:val="24"/>
              </w:rPr>
              <w:t>N</w:t>
            </w:r>
          </w:p>
        </w:tc>
      </w:tr>
      <w:tr w:rsidRPr="003C42E4" w:rsidR="00A70639" w:rsidTr="00BF5661" w14:paraId="1D129EF2" w14:textId="77777777">
        <w:trPr>
          <w:trHeight w:val="288"/>
        </w:trPr>
        <w:tc>
          <w:tcPr>
            <w:tcW w:w="2324" w:type="pct"/>
            <w:tcBorders>
              <w:top w:val="single" w:color="auto" w:sz="4" w:space="0"/>
              <w:left w:val="nil"/>
              <w:bottom w:val="nil"/>
              <w:right w:val="nil"/>
            </w:tcBorders>
            <w:shd w:val="clear" w:color="auto" w:fill="auto"/>
            <w:noWrap/>
            <w:vAlign w:val="bottom"/>
            <w:hideMark/>
          </w:tcPr>
          <w:p w:rsidRPr="0028343A" w:rsidR="00A70639" w:rsidP="00A70639" w:rsidRDefault="00A70639" w14:paraId="2EBB0B26" w14:textId="77777777">
            <w:pPr>
              <w:spacing w:after="0" w:line="240" w:lineRule="auto"/>
              <w:rPr>
                <w:rFonts w:eastAsia="Times New Roman" w:cs="Times New Roman"/>
                <w:color w:val="000000"/>
                <w:sz w:val="24"/>
                <w:szCs w:val="24"/>
              </w:rPr>
            </w:pPr>
            <w:r w:rsidRPr="0028343A">
              <w:rPr>
                <w:rFonts w:eastAsia="Times New Roman" w:cs="Times New Roman"/>
                <w:color w:val="000000"/>
                <w:sz w:val="24"/>
                <w:szCs w:val="24"/>
              </w:rPr>
              <w:t>Arts and Media</w:t>
            </w:r>
          </w:p>
        </w:tc>
        <w:tc>
          <w:tcPr>
            <w:tcW w:w="581" w:type="pct"/>
            <w:tcBorders>
              <w:top w:val="single" w:color="auto" w:sz="4" w:space="0"/>
              <w:left w:val="nil"/>
              <w:bottom w:val="nil"/>
              <w:right w:val="nil"/>
            </w:tcBorders>
            <w:shd w:val="clear" w:color="auto" w:fill="auto"/>
            <w:noWrap/>
            <w:vAlign w:val="bottom"/>
            <w:hideMark/>
          </w:tcPr>
          <w:p w:rsidRPr="0028343A" w:rsidR="00A70639" w:rsidP="00A70639" w:rsidRDefault="00A70639" w14:paraId="58A784F3"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7.15%</w:t>
            </w:r>
          </w:p>
        </w:tc>
        <w:tc>
          <w:tcPr>
            <w:tcW w:w="581" w:type="pct"/>
            <w:tcBorders>
              <w:top w:val="single" w:color="auto" w:sz="4" w:space="0"/>
              <w:left w:val="nil"/>
              <w:bottom w:val="nil"/>
              <w:right w:val="nil"/>
            </w:tcBorders>
            <w:shd w:val="clear" w:color="auto" w:fill="auto"/>
            <w:noWrap/>
            <w:vAlign w:val="bottom"/>
            <w:hideMark/>
          </w:tcPr>
          <w:p w:rsidRPr="0028343A" w:rsidR="00A70639" w:rsidP="00A70639" w:rsidRDefault="00A70639" w14:paraId="2DA43772"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9.89%</w:t>
            </w:r>
          </w:p>
        </w:tc>
        <w:tc>
          <w:tcPr>
            <w:tcW w:w="581" w:type="pct"/>
            <w:tcBorders>
              <w:top w:val="single" w:color="auto" w:sz="4" w:space="0"/>
              <w:left w:val="nil"/>
              <w:bottom w:val="nil"/>
              <w:right w:val="nil"/>
            </w:tcBorders>
            <w:shd w:val="clear" w:color="auto" w:fill="auto"/>
            <w:noWrap/>
            <w:vAlign w:val="bottom"/>
            <w:hideMark/>
          </w:tcPr>
          <w:p w:rsidRPr="0028343A" w:rsidR="00A70639" w:rsidP="00A70639" w:rsidRDefault="00A70639" w14:paraId="0FEFC9BD"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5.45%</w:t>
            </w:r>
          </w:p>
        </w:tc>
        <w:tc>
          <w:tcPr>
            <w:tcW w:w="581" w:type="pct"/>
            <w:tcBorders>
              <w:top w:val="single" w:color="auto" w:sz="4" w:space="0"/>
              <w:left w:val="nil"/>
              <w:bottom w:val="nil"/>
              <w:right w:val="nil"/>
            </w:tcBorders>
            <w:shd w:val="clear" w:color="auto" w:fill="auto"/>
            <w:noWrap/>
            <w:vAlign w:val="bottom"/>
            <w:hideMark/>
          </w:tcPr>
          <w:p w:rsidRPr="0028343A" w:rsidR="00A70639" w:rsidP="00A70639" w:rsidRDefault="00A70639" w14:paraId="7D1B0969"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5.37%</w:t>
            </w:r>
          </w:p>
        </w:tc>
        <w:tc>
          <w:tcPr>
            <w:tcW w:w="351" w:type="pct"/>
            <w:tcBorders>
              <w:top w:val="single" w:color="auto" w:sz="4" w:space="0"/>
              <w:left w:val="nil"/>
              <w:bottom w:val="nil"/>
              <w:right w:val="nil"/>
            </w:tcBorders>
            <w:vAlign w:val="bottom"/>
          </w:tcPr>
          <w:p w:rsidRPr="003C42E4" w:rsidR="00A70639" w:rsidP="00A70639" w:rsidRDefault="00A70639" w14:paraId="1144F25D"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61</w:t>
            </w:r>
          </w:p>
        </w:tc>
      </w:tr>
      <w:tr w:rsidRPr="003C42E4" w:rsidR="00A70639" w:rsidTr="00BF5661" w14:paraId="0B0EC670" w14:textId="77777777">
        <w:trPr>
          <w:trHeight w:val="288"/>
        </w:trPr>
        <w:tc>
          <w:tcPr>
            <w:tcW w:w="2324" w:type="pct"/>
            <w:tcBorders>
              <w:top w:val="nil"/>
              <w:left w:val="nil"/>
              <w:bottom w:val="nil"/>
              <w:right w:val="nil"/>
            </w:tcBorders>
            <w:shd w:val="clear" w:color="auto" w:fill="auto"/>
            <w:noWrap/>
            <w:vAlign w:val="bottom"/>
            <w:hideMark/>
          </w:tcPr>
          <w:p w:rsidRPr="0028343A" w:rsidR="00A70639" w:rsidP="00A70639" w:rsidRDefault="00A70639" w14:paraId="38968BAD" w14:textId="77777777">
            <w:pPr>
              <w:spacing w:after="0" w:line="240" w:lineRule="auto"/>
              <w:rPr>
                <w:rFonts w:eastAsia="Times New Roman" w:cs="Times New Roman"/>
                <w:color w:val="000000"/>
                <w:sz w:val="24"/>
                <w:szCs w:val="24"/>
              </w:rPr>
            </w:pPr>
            <w:r w:rsidRPr="0028343A">
              <w:rPr>
                <w:rFonts w:eastAsia="Times New Roman" w:cs="Times New Roman"/>
                <w:color w:val="000000"/>
                <w:sz w:val="24"/>
                <w:szCs w:val="24"/>
              </w:rPr>
              <w:t>Business Administration</w:t>
            </w:r>
          </w:p>
        </w:tc>
        <w:tc>
          <w:tcPr>
            <w:tcW w:w="581" w:type="pct"/>
            <w:tcBorders>
              <w:top w:val="nil"/>
              <w:left w:val="nil"/>
              <w:bottom w:val="nil"/>
              <w:right w:val="nil"/>
            </w:tcBorders>
            <w:shd w:val="clear" w:color="auto" w:fill="auto"/>
            <w:noWrap/>
            <w:vAlign w:val="bottom"/>
            <w:hideMark/>
          </w:tcPr>
          <w:p w:rsidRPr="0028343A" w:rsidR="00A70639" w:rsidP="00A70639" w:rsidRDefault="00A70639" w14:paraId="027945D7"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13.33%</w:t>
            </w:r>
          </w:p>
        </w:tc>
        <w:tc>
          <w:tcPr>
            <w:tcW w:w="581" w:type="pct"/>
            <w:tcBorders>
              <w:top w:val="nil"/>
              <w:left w:val="nil"/>
              <w:bottom w:val="nil"/>
              <w:right w:val="nil"/>
            </w:tcBorders>
            <w:shd w:val="clear" w:color="auto" w:fill="auto"/>
            <w:noWrap/>
            <w:vAlign w:val="bottom"/>
            <w:hideMark/>
          </w:tcPr>
          <w:p w:rsidRPr="0028343A" w:rsidR="00A70639" w:rsidP="00A70639" w:rsidRDefault="00A70639" w14:paraId="0179025B"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12.04%</w:t>
            </w:r>
          </w:p>
        </w:tc>
        <w:tc>
          <w:tcPr>
            <w:tcW w:w="581" w:type="pct"/>
            <w:tcBorders>
              <w:top w:val="nil"/>
              <w:left w:val="nil"/>
              <w:bottom w:val="nil"/>
              <w:right w:val="nil"/>
            </w:tcBorders>
            <w:shd w:val="clear" w:color="auto" w:fill="auto"/>
            <w:noWrap/>
            <w:vAlign w:val="bottom"/>
            <w:hideMark/>
          </w:tcPr>
          <w:p w:rsidRPr="0028343A" w:rsidR="00A70639" w:rsidP="00A70639" w:rsidRDefault="00A70639" w14:paraId="1A5C07D9"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12.74%</w:t>
            </w:r>
          </w:p>
        </w:tc>
        <w:tc>
          <w:tcPr>
            <w:tcW w:w="581" w:type="pct"/>
            <w:tcBorders>
              <w:top w:val="nil"/>
              <w:left w:val="nil"/>
              <w:bottom w:val="nil"/>
              <w:right w:val="nil"/>
            </w:tcBorders>
            <w:shd w:val="clear" w:color="auto" w:fill="auto"/>
            <w:noWrap/>
            <w:vAlign w:val="bottom"/>
            <w:hideMark/>
          </w:tcPr>
          <w:p w:rsidRPr="0028343A" w:rsidR="00A70639" w:rsidP="00A70639" w:rsidRDefault="00A70639" w14:paraId="57A5CF70"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11.11%</w:t>
            </w:r>
          </w:p>
        </w:tc>
        <w:tc>
          <w:tcPr>
            <w:tcW w:w="351" w:type="pct"/>
            <w:tcBorders>
              <w:top w:val="nil"/>
              <w:left w:val="nil"/>
              <w:bottom w:val="nil"/>
              <w:right w:val="nil"/>
            </w:tcBorders>
            <w:vAlign w:val="bottom"/>
          </w:tcPr>
          <w:p w:rsidRPr="003C42E4" w:rsidR="00A70639" w:rsidP="00A70639" w:rsidRDefault="00A70639" w14:paraId="0F13F0EF"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78</w:t>
            </w:r>
          </w:p>
        </w:tc>
      </w:tr>
      <w:tr w:rsidRPr="003C42E4" w:rsidR="00A70639" w:rsidTr="00BF5661" w14:paraId="54043BCB" w14:textId="77777777">
        <w:trPr>
          <w:trHeight w:val="288"/>
        </w:trPr>
        <w:tc>
          <w:tcPr>
            <w:tcW w:w="2324" w:type="pct"/>
            <w:tcBorders>
              <w:top w:val="nil"/>
              <w:left w:val="nil"/>
              <w:bottom w:val="nil"/>
              <w:right w:val="nil"/>
            </w:tcBorders>
            <w:shd w:val="clear" w:color="auto" w:fill="auto"/>
            <w:noWrap/>
            <w:vAlign w:val="bottom"/>
            <w:hideMark/>
          </w:tcPr>
          <w:p w:rsidRPr="0028343A" w:rsidR="00A70639" w:rsidP="00A70639" w:rsidRDefault="00A70639" w14:paraId="24800FE0" w14:textId="77777777">
            <w:pPr>
              <w:spacing w:after="0" w:line="240" w:lineRule="auto"/>
              <w:rPr>
                <w:rFonts w:eastAsia="Times New Roman" w:cs="Times New Roman"/>
                <w:color w:val="000000"/>
                <w:sz w:val="24"/>
                <w:szCs w:val="24"/>
              </w:rPr>
            </w:pPr>
            <w:r w:rsidRPr="0028343A">
              <w:rPr>
                <w:rFonts w:eastAsia="Times New Roman" w:cs="Times New Roman"/>
                <w:color w:val="000000"/>
                <w:sz w:val="24"/>
                <w:szCs w:val="24"/>
              </w:rPr>
              <w:t>Criminal Justice</w:t>
            </w:r>
          </w:p>
        </w:tc>
        <w:tc>
          <w:tcPr>
            <w:tcW w:w="581" w:type="pct"/>
            <w:tcBorders>
              <w:top w:val="nil"/>
              <w:left w:val="nil"/>
              <w:bottom w:val="nil"/>
              <w:right w:val="nil"/>
            </w:tcBorders>
            <w:shd w:val="clear" w:color="auto" w:fill="auto"/>
            <w:noWrap/>
            <w:vAlign w:val="bottom"/>
            <w:hideMark/>
          </w:tcPr>
          <w:p w:rsidRPr="0028343A" w:rsidR="00A70639" w:rsidP="00A70639" w:rsidRDefault="00A70639" w14:paraId="5FEDBA2C"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8.45%</w:t>
            </w:r>
          </w:p>
        </w:tc>
        <w:tc>
          <w:tcPr>
            <w:tcW w:w="581" w:type="pct"/>
            <w:tcBorders>
              <w:top w:val="nil"/>
              <w:left w:val="nil"/>
              <w:bottom w:val="nil"/>
              <w:right w:val="nil"/>
            </w:tcBorders>
            <w:shd w:val="clear" w:color="auto" w:fill="auto"/>
            <w:noWrap/>
            <w:vAlign w:val="bottom"/>
            <w:hideMark/>
          </w:tcPr>
          <w:p w:rsidRPr="0028343A" w:rsidR="00A70639" w:rsidP="00A70639" w:rsidRDefault="00A70639" w14:paraId="3E0C13DC"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11.49%</w:t>
            </w:r>
          </w:p>
        </w:tc>
        <w:tc>
          <w:tcPr>
            <w:tcW w:w="581" w:type="pct"/>
            <w:tcBorders>
              <w:top w:val="nil"/>
              <w:left w:val="nil"/>
              <w:bottom w:val="nil"/>
              <w:right w:val="nil"/>
            </w:tcBorders>
            <w:shd w:val="clear" w:color="auto" w:fill="auto"/>
            <w:noWrap/>
            <w:vAlign w:val="bottom"/>
            <w:hideMark/>
          </w:tcPr>
          <w:p w:rsidRPr="0028343A" w:rsidR="00A70639" w:rsidP="00A70639" w:rsidRDefault="00A70639" w14:paraId="7062ABA5"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7.72%</w:t>
            </w:r>
          </w:p>
        </w:tc>
        <w:tc>
          <w:tcPr>
            <w:tcW w:w="581" w:type="pct"/>
            <w:tcBorders>
              <w:top w:val="nil"/>
              <w:left w:val="nil"/>
              <w:bottom w:val="nil"/>
              <w:right w:val="nil"/>
            </w:tcBorders>
            <w:shd w:val="clear" w:color="auto" w:fill="auto"/>
            <w:noWrap/>
            <w:vAlign w:val="bottom"/>
            <w:hideMark/>
          </w:tcPr>
          <w:p w:rsidRPr="0028343A" w:rsidR="00A70639" w:rsidP="00A70639" w:rsidRDefault="00A70639" w14:paraId="145FD926"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7.29%</w:t>
            </w:r>
          </w:p>
        </w:tc>
        <w:tc>
          <w:tcPr>
            <w:tcW w:w="351" w:type="pct"/>
            <w:tcBorders>
              <w:top w:val="nil"/>
              <w:left w:val="nil"/>
              <w:bottom w:val="nil"/>
              <w:right w:val="nil"/>
            </w:tcBorders>
            <w:vAlign w:val="bottom"/>
          </w:tcPr>
          <w:p w:rsidRPr="003C42E4" w:rsidR="00A70639" w:rsidP="00A70639" w:rsidRDefault="00A70639" w14:paraId="3C1A3230"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41</w:t>
            </w:r>
          </w:p>
        </w:tc>
      </w:tr>
      <w:tr w:rsidRPr="003C42E4" w:rsidR="00A70639" w:rsidTr="00BF5661" w14:paraId="37E5467D" w14:textId="77777777">
        <w:trPr>
          <w:trHeight w:val="288"/>
        </w:trPr>
        <w:tc>
          <w:tcPr>
            <w:tcW w:w="2324" w:type="pct"/>
            <w:tcBorders>
              <w:top w:val="nil"/>
              <w:left w:val="nil"/>
              <w:bottom w:val="nil"/>
              <w:right w:val="nil"/>
            </w:tcBorders>
            <w:shd w:val="clear" w:color="auto" w:fill="auto"/>
            <w:noWrap/>
            <w:vAlign w:val="bottom"/>
            <w:hideMark/>
          </w:tcPr>
          <w:p w:rsidRPr="0028343A" w:rsidR="00A70639" w:rsidP="00A70639" w:rsidRDefault="00A70639" w14:paraId="055EC91D" w14:textId="77777777">
            <w:pPr>
              <w:spacing w:after="0" w:line="240" w:lineRule="auto"/>
              <w:rPr>
                <w:rFonts w:eastAsia="Times New Roman" w:cs="Times New Roman"/>
                <w:color w:val="000000"/>
                <w:sz w:val="24"/>
                <w:szCs w:val="24"/>
              </w:rPr>
            </w:pPr>
            <w:r w:rsidRPr="0028343A">
              <w:rPr>
                <w:rFonts w:eastAsia="Times New Roman" w:cs="Times New Roman"/>
                <w:color w:val="000000"/>
                <w:sz w:val="24"/>
                <w:szCs w:val="24"/>
              </w:rPr>
              <w:t>Education</w:t>
            </w:r>
          </w:p>
        </w:tc>
        <w:tc>
          <w:tcPr>
            <w:tcW w:w="581" w:type="pct"/>
            <w:tcBorders>
              <w:top w:val="nil"/>
              <w:left w:val="nil"/>
              <w:bottom w:val="nil"/>
              <w:right w:val="nil"/>
            </w:tcBorders>
            <w:shd w:val="clear" w:color="auto" w:fill="auto"/>
            <w:noWrap/>
            <w:vAlign w:val="bottom"/>
            <w:hideMark/>
          </w:tcPr>
          <w:p w:rsidRPr="0028343A" w:rsidR="00A70639" w:rsidP="00A70639" w:rsidRDefault="00A70639" w14:paraId="2055FFA1"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3.40%</w:t>
            </w:r>
          </w:p>
        </w:tc>
        <w:tc>
          <w:tcPr>
            <w:tcW w:w="581" w:type="pct"/>
            <w:tcBorders>
              <w:top w:val="nil"/>
              <w:left w:val="nil"/>
              <w:bottom w:val="nil"/>
              <w:right w:val="nil"/>
            </w:tcBorders>
            <w:shd w:val="clear" w:color="auto" w:fill="auto"/>
            <w:noWrap/>
            <w:vAlign w:val="bottom"/>
            <w:hideMark/>
          </w:tcPr>
          <w:p w:rsidRPr="0028343A" w:rsidR="00A70639" w:rsidP="00A70639" w:rsidRDefault="00A70639" w14:paraId="1E3C8FC5"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6.18%</w:t>
            </w:r>
          </w:p>
        </w:tc>
        <w:tc>
          <w:tcPr>
            <w:tcW w:w="581" w:type="pct"/>
            <w:tcBorders>
              <w:top w:val="nil"/>
              <w:left w:val="nil"/>
              <w:bottom w:val="nil"/>
              <w:right w:val="nil"/>
            </w:tcBorders>
            <w:shd w:val="clear" w:color="auto" w:fill="auto"/>
            <w:noWrap/>
            <w:vAlign w:val="bottom"/>
            <w:hideMark/>
          </w:tcPr>
          <w:p w:rsidRPr="0028343A" w:rsidR="00A70639" w:rsidP="00A70639" w:rsidRDefault="00A70639" w14:paraId="14642899"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2.33%</w:t>
            </w:r>
          </w:p>
        </w:tc>
        <w:tc>
          <w:tcPr>
            <w:tcW w:w="581" w:type="pct"/>
            <w:tcBorders>
              <w:top w:val="nil"/>
              <w:left w:val="nil"/>
              <w:bottom w:val="nil"/>
              <w:right w:val="nil"/>
            </w:tcBorders>
            <w:shd w:val="clear" w:color="auto" w:fill="auto"/>
            <w:noWrap/>
            <w:vAlign w:val="bottom"/>
            <w:hideMark/>
          </w:tcPr>
          <w:p w:rsidRPr="0028343A" w:rsidR="00A70639" w:rsidP="00A70639" w:rsidRDefault="00A70639" w14:paraId="6176399D"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4.84%</w:t>
            </w:r>
          </w:p>
        </w:tc>
        <w:tc>
          <w:tcPr>
            <w:tcW w:w="351" w:type="pct"/>
            <w:tcBorders>
              <w:top w:val="nil"/>
              <w:left w:val="nil"/>
              <w:bottom w:val="nil"/>
              <w:right w:val="nil"/>
            </w:tcBorders>
            <w:vAlign w:val="bottom"/>
          </w:tcPr>
          <w:p w:rsidRPr="003C42E4" w:rsidR="00A70639" w:rsidP="00A70639" w:rsidRDefault="00A70639" w14:paraId="0F8D398B"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66</w:t>
            </w:r>
          </w:p>
        </w:tc>
      </w:tr>
      <w:tr w:rsidRPr="003C42E4" w:rsidR="00A70639" w:rsidTr="00BF5661" w14:paraId="704F3558" w14:textId="77777777">
        <w:trPr>
          <w:trHeight w:val="288"/>
        </w:trPr>
        <w:tc>
          <w:tcPr>
            <w:tcW w:w="2324" w:type="pct"/>
            <w:tcBorders>
              <w:top w:val="nil"/>
              <w:left w:val="nil"/>
              <w:bottom w:val="nil"/>
              <w:right w:val="nil"/>
            </w:tcBorders>
            <w:shd w:val="clear" w:color="auto" w:fill="auto"/>
            <w:noWrap/>
            <w:vAlign w:val="bottom"/>
            <w:hideMark/>
          </w:tcPr>
          <w:p w:rsidRPr="0028343A" w:rsidR="00A70639" w:rsidP="00A70639" w:rsidRDefault="00A70639" w14:paraId="068AC97F" w14:textId="77777777">
            <w:pPr>
              <w:spacing w:after="0" w:line="240" w:lineRule="auto"/>
              <w:rPr>
                <w:rFonts w:eastAsia="Times New Roman" w:cs="Times New Roman"/>
                <w:color w:val="000000"/>
                <w:sz w:val="24"/>
                <w:szCs w:val="24"/>
              </w:rPr>
            </w:pPr>
            <w:r w:rsidRPr="0028343A">
              <w:rPr>
                <w:rFonts w:eastAsia="Times New Roman" w:cs="Times New Roman"/>
                <w:color w:val="000000"/>
                <w:sz w:val="24"/>
                <w:szCs w:val="24"/>
              </w:rPr>
              <w:t>Health Sciences</w:t>
            </w:r>
          </w:p>
        </w:tc>
        <w:tc>
          <w:tcPr>
            <w:tcW w:w="581" w:type="pct"/>
            <w:tcBorders>
              <w:top w:val="nil"/>
              <w:left w:val="nil"/>
              <w:bottom w:val="nil"/>
              <w:right w:val="nil"/>
            </w:tcBorders>
            <w:shd w:val="clear" w:color="auto" w:fill="auto"/>
            <w:noWrap/>
            <w:vAlign w:val="bottom"/>
            <w:hideMark/>
          </w:tcPr>
          <w:p w:rsidRPr="0028343A" w:rsidR="00A70639" w:rsidP="00A70639" w:rsidRDefault="00A70639" w14:paraId="1560BE38"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9.73%</w:t>
            </w:r>
          </w:p>
        </w:tc>
        <w:tc>
          <w:tcPr>
            <w:tcW w:w="581" w:type="pct"/>
            <w:tcBorders>
              <w:top w:val="nil"/>
              <w:left w:val="nil"/>
              <w:bottom w:val="nil"/>
              <w:right w:val="nil"/>
            </w:tcBorders>
            <w:shd w:val="clear" w:color="auto" w:fill="auto"/>
            <w:noWrap/>
            <w:vAlign w:val="bottom"/>
            <w:hideMark/>
          </w:tcPr>
          <w:p w:rsidRPr="0028343A" w:rsidR="00A70639" w:rsidP="00A70639" w:rsidRDefault="00A70639" w14:paraId="3B6E1CD9"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11.05%</w:t>
            </w:r>
          </w:p>
        </w:tc>
        <w:tc>
          <w:tcPr>
            <w:tcW w:w="581" w:type="pct"/>
            <w:tcBorders>
              <w:top w:val="nil"/>
              <w:left w:val="nil"/>
              <w:bottom w:val="nil"/>
              <w:right w:val="nil"/>
            </w:tcBorders>
            <w:shd w:val="clear" w:color="auto" w:fill="auto"/>
            <w:noWrap/>
            <w:vAlign w:val="bottom"/>
            <w:hideMark/>
          </w:tcPr>
          <w:p w:rsidRPr="0028343A" w:rsidR="00A70639" w:rsidP="00A70639" w:rsidRDefault="00A70639" w14:paraId="0A5574A5"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14.04%</w:t>
            </w:r>
          </w:p>
        </w:tc>
        <w:tc>
          <w:tcPr>
            <w:tcW w:w="581" w:type="pct"/>
            <w:tcBorders>
              <w:top w:val="nil"/>
              <w:left w:val="nil"/>
              <w:bottom w:val="nil"/>
              <w:right w:val="nil"/>
            </w:tcBorders>
            <w:shd w:val="clear" w:color="auto" w:fill="auto"/>
            <w:noWrap/>
            <w:vAlign w:val="bottom"/>
            <w:hideMark/>
          </w:tcPr>
          <w:p w:rsidRPr="0028343A" w:rsidR="00A70639" w:rsidP="00A70639" w:rsidRDefault="00A70639" w14:paraId="0B68A02E"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11.68%</w:t>
            </w:r>
          </w:p>
        </w:tc>
        <w:tc>
          <w:tcPr>
            <w:tcW w:w="351" w:type="pct"/>
            <w:tcBorders>
              <w:top w:val="nil"/>
              <w:left w:val="nil"/>
              <w:bottom w:val="nil"/>
              <w:right w:val="nil"/>
            </w:tcBorders>
            <w:vAlign w:val="bottom"/>
          </w:tcPr>
          <w:p w:rsidRPr="003C42E4" w:rsidR="00A70639" w:rsidP="00A70639" w:rsidRDefault="00A70639" w14:paraId="47D5CE11"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63</w:t>
            </w:r>
          </w:p>
        </w:tc>
      </w:tr>
      <w:tr w:rsidRPr="003C42E4" w:rsidR="00A70639" w:rsidTr="00BF5661" w14:paraId="49FC0F4A" w14:textId="77777777">
        <w:trPr>
          <w:trHeight w:val="288"/>
        </w:trPr>
        <w:tc>
          <w:tcPr>
            <w:tcW w:w="2324" w:type="pct"/>
            <w:tcBorders>
              <w:top w:val="nil"/>
              <w:left w:val="nil"/>
              <w:right w:val="nil"/>
            </w:tcBorders>
            <w:shd w:val="clear" w:color="auto" w:fill="auto"/>
            <w:noWrap/>
            <w:vAlign w:val="bottom"/>
            <w:hideMark/>
          </w:tcPr>
          <w:p w:rsidRPr="0028343A" w:rsidR="00A70639" w:rsidP="00A70639" w:rsidRDefault="00A70639" w14:paraId="07DACFD3" w14:textId="77777777">
            <w:pPr>
              <w:spacing w:after="0" w:line="240" w:lineRule="auto"/>
              <w:rPr>
                <w:rFonts w:eastAsia="Times New Roman" w:cs="Times New Roman"/>
                <w:color w:val="000000"/>
                <w:sz w:val="24"/>
                <w:szCs w:val="24"/>
              </w:rPr>
            </w:pPr>
            <w:r w:rsidRPr="0028343A">
              <w:rPr>
                <w:rFonts w:eastAsia="Times New Roman" w:cs="Times New Roman"/>
                <w:color w:val="000000"/>
                <w:sz w:val="24"/>
                <w:szCs w:val="24"/>
              </w:rPr>
              <w:t>Humanities and Social Sciences</w:t>
            </w:r>
          </w:p>
        </w:tc>
        <w:tc>
          <w:tcPr>
            <w:tcW w:w="581" w:type="pct"/>
            <w:tcBorders>
              <w:top w:val="nil"/>
              <w:left w:val="nil"/>
              <w:right w:val="nil"/>
            </w:tcBorders>
            <w:shd w:val="clear" w:color="auto" w:fill="auto"/>
            <w:noWrap/>
            <w:vAlign w:val="bottom"/>
            <w:hideMark/>
          </w:tcPr>
          <w:p w:rsidRPr="0028343A" w:rsidR="00A70639" w:rsidP="00A70639" w:rsidRDefault="00A70639" w14:paraId="70638580"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17.60%</w:t>
            </w:r>
          </w:p>
        </w:tc>
        <w:tc>
          <w:tcPr>
            <w:tcW w:w="581" w:type="pct"/>
            <w:tcBorders>
              <w:top w:val="nil"/>
              <w:left w:val="nil"/>
              <w:right w:val="nil"/>
            </w:tcBorders>
            <w:shd w:val="clear" w:color="auto" w:fill="auto"/>
            <w:noWrap/>
            <w:vAlign w:val="bottom"/>
            <w:hideMark/>
          </w:tcPr>
          <w:p w:rsidRPr="0028343A" w:rsidR="00A70639" w:rsidP="00A70639" w:rsidRDefault="00A70639" w14:paraId="35057404"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16.67%</w:t>
            </w:r>
          </w:p>
        </w:tc>
        <w:tc>
          <w:tcPr>
            <w:tcW w:w="581" w:type="pct"/>
            <w:tcBorders>
              <w:top w:val="nil"/>
              <w:left w:val="nil"/>
              <w:right w:val="nil"/>
            </w:tcBorders>
            <w:shd w:val="clear" w:color="auto" w:fill="auto"/>
            <w:noWrap/>
            <w:vAlign w:val="bottom"/>
            <w:hideMark/>
          </w:tcPr>
          <w:p w:rsidRPr="0028343A" w:rsidR="00A70639" w:rsidP="00A70639" w:rsidRDefault="00A70639" w14:paraId="2D408250"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12.37%</w:t>
            </w:r>
          </w:p>
        </w:tc>
        <w:tc>
          <w:tcPr>
            <w:tcW w:w="581" w:type="pct"/>
            <w:tcBorders>
              <w:top w:val="nil"/>
              <w:left w:val="nil"/>
              <w:right w:val="nil"/>
            </w:tcBorders>
            <w:shd w:val="clear" w:color="auto" w:fill="auto"/>
            <w:noWrap/>
            <w:vAlign w:val="bottom"/>
            <w:hideMark/>
          </w:tcPr>
          <w:p w:rsidRPr="0028343A" w:rsidR="00A70639" w:rsidP="00A70639" w:rsidRDefault="00A70639" w14:paraId="1ED40E22"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10.62%</w:t>
            </w:r>
          </w:p>
        </w:tc>
        <w:tc>
          <w:tcPr>
            <w:tcW w:w="351" w:type="pct"/>
            <w:tcBorders>
              <w:top w:val="nil"/>
              <w:left w:val="nil"/>
              <w:right w:val="nil"/>
            </w:tcBorders>
            <w:vAlign w:val="bottom"/>
          </w:tcPr>
          <w:p w:rsidRPr="003C42E4" w:rsidR="00A70639" w:rsidP="00A70639" w:rsidRDefault="00A70639" w14:paraId="482EE460"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180</w:t>
            </w:r>
          </w:p>
        </w:tc>
      </w:tr>
      <w:tr w:rsidRPr="003C42E4" w:rsidR="00A70639" w:rsidTr="00BF5661" w14:paraId="4D6B6119" w14:textId="77777777">
        <w:trPr>
          <w:trHeight w:val="288"/>
        </w:trPr>
        <w:tc>
          <w:tcPr>
            <w:tcW w:w="2324" w:type="pct"/>
            <w:tcBorders>
              <w:top w:val="nil"/>
              <w:left w:val="nil"/>
              <w:bottom w:val="single" w:color="auto" w:sz="4" w:space="0"/>
              <w:right w:val="nil"/>
            </w:tcBorders>
            <w:shd w:val="clear" w:color="auto" w:fill="auto"/>
            <w:noWrap/>
            <w:vAlign w:val="bottom"/>
            <w:hideMark/>
          </w:tcPr>
          <w:p w:rsidRPr="0028343A" w:rsidR="00A70639" w:rsidP="00A70639" w:rsidRDefault="00A70639" w14:paraId="6163EBA2" w14:textId="77777777">
            <w:pPr>
              <w:spacing w:after="0" w:line="240" w:lineRule="auto"/>
              <w:rPr>
                <w:rFonts w:eastAsia="Times New Roman" w:cs="Times New Roman"/>
                <w:color w:val="000000"/>
                <w:sz w:val="24"/>
                <w:szCs w:val="24"/>
              </w:rPr>
            </w:pPr>
            <w:r w:rsidRPr="0028343A">
              <w:rPr>
                <w:rFonts w:eastAsia="Times New Roman" w:cs="Times New Roman"/>
                <w:color w:val="000000"/>
                <w:sz w:val="24"/>
                <w:szCs w:val="24"/>
              </w:rPr>
              <w:t>Science and Engineering Technology</w:t>
            </w:r>
          </w:p>
        </w:tc>
        <w:tc>
          <w:tcPr>
            <w:tcW w:w="581" w:type="pct"/>
            <w:tcBorders>
              <w:top w:val="nil"/>
              <w:left w:val="nil"/>
              <w:bottom w:val="single" w:color="auto" w:sz="4" w:space="0"/>
              <w:right w:val="nil"/>
            </w:tcBorders>
            <w:shd w:val="clear" w:color="auto" w:fill="auto"/>
            <w:noWrap/>
            <w:vAlign w:val="bottom"/>
            <w:hideMark/>
          </w:tcPr>
          <w:p w:rsidRPr="0028343A" w:rsidR="00A70639" w:rsidP="00A70639" w:rsidRDefault="00A70639" w14:paraId="51539352"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24.81%</w:t>
            </w:r>
          </w:p>
        </w:tc>
        <w:tc>
          <w:tcPr>
            <w:tcW w:w="581" w:type="pct"/>
            <w:tcBorders>
              <w:top w:val="nil"/>
              <w:left w:val="nil"/>
              <w:bottom w:val="single" w:color="auto" w:sz="4" w:space="0"/>
              <w:right w:val="nil"/>
            </w:tcBorders>
            <w:shd w:val="clear" w:color="auto" w:fill="auto"/>
            <w:noWrap/>
            <w:vAlign w:val="bottom"/>
            <w:hideMark/>
          </w:tcPr>
          <w:p w:rsidRPr="0028343A" w:rsidR="00A70639" w:rsidP="00A70639" w:rsidRDefault="00A70639" w14:paraId="0E479918"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22.34%</w:t>
            </w:r>
          </w:p>
        </w:tc>
        <w:tc>
          <w:tcPr>
            <w:tcW w:w="581" w:type="pct"/>
            <w:tcBorders>
              <w:top w:val="nil"/>
              <w:left w:val="nil"/>
              <w:bottom w:val="single" w:color="auto" w:sz="4" w:space="0"/>
              <w:right w:val="nil"/>
            </w:tcBorders>
            <w:shd w:val="clear" w:color="auto" w:fill="auto"/>
            <w:noWrap/>
            <w:vAlign w:val="bottom"/>
            <w:hideMark/>
          </w:tcPr>
          <w:p w:rsidRPr="0028343A" w:rsidR="00A70639" w:rsidP="00A70639" w:rsidRDefault="00A70639" w14:paraId="6BC8DB33"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20.61%</w:t>
            </w:r>
          </w:p>
        </w:tc>
        <w:tc>
          <w:tcPr>
            <w:tcW w:w="581" w:type="pct"/>
            <w:tcBorders>
              <w:top w:val="nil"/>
              <w:left w:val="nil"/>
              <w:bottom w:val="single" w:color="auto" w:sz="4" w:space="0"/>
              <w:right w:val="nil"/>
            </w:tcBorders>
            <w:shd w:val="clear" w:color="auto" w:fill="auto"/>
            <w:noWrap/>
            <w:vAlign w:val="bottom"/>
            <w:hideMark/>
          </w:tcPr>
          <w:p w:rsidRPr="0028343A" w:rsidR="00A70639" w:rsidP="00A70639" w:rsidRDefault="00A70639" w14:paraId="138E172F"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19.61%</w:t>
            </w:r>
          </w:p>
        </w:tc>
        <w:tc>
          <w:tcPr>
            <w:tcW w:w="351" w:type="pct"/>
            <w:tcBorders>
              <w:top w:val="nil"/>
              <w:left w:val="nil"/>
              <w:bottom w:val="single" w:color="auto" w:sz="4" w:space="0"/>
              <w:right w:val="nil"/>
            </w:tcBorders>
            <w:vAlign w:val="bottom"/>
          </w:tcPr>
          <w:p w:rsidRPr="003C42E4" w:rsidR="00A70639" w:rsidP="00A70639" w:rsidRDefault="00A70639" w14:paraId="4D1C3007" w14:textId="77777777">
            <w:pPr>
              <w:spacing w:after="0" w:line="240" w:lineRule="auto"/>
              <w:jc w:val="right"/>
              <w:rPr>
                <w:rFonts w:eastAsia="Times New Roman" w:cs="Times New Roman"/>
                <w:color w:val="000000"/>
                <w:sz w:val="24"/>
                <w:szCs w:val="24"/>
              </w:rPr>
            </w:pPr>
            <w:r w:rsidRPr="0028343A">
              <w:rPr>
                <w:rFonts w:eastAsia="Times New Roman" w:cs="Times New Roman"/>
                <w:color w:val="000000"/>
                <w:sz w:val="24"/>
                <w:szCs w:val="24"/>
              </w:rPr>
              <w:t>240</w:t>
            </w:r>
          </w:p>
        </w:tc>
      </w:tr>
    </w:tbl>
    <w:p w:rsidR="00077EF6" w:rsidP="00A02E24" w:rsidRDefault="00077EF6" w14:paraId="5E8BECA3" w14:textId="77777777">
      <w:pPr>
        <w:spacing w:after="0" w:line="240" w:lineRule="auto"/>
        <w:rPr>
          <w:rFonts w:eastAsia="Times New Roman" w:cs="Times New Roman"/>
          <w:color w:val="000000"/>
          <w:sz w:val="24"/>
          <w:szCs w:val="24"/>
        </w:rPr>
      </w:pPr>
    </w:p>
    <w:p w:rsidRPr="003C42E4" w:rsidR="00A02E24" w:rsidP="00A02E24" w:rsidRDefault="00A02E24" w14:paraId="3E8776E9" w14:textId="224F606A">
      <w:pPr>
        <w:spacing w:after="0" w:line="240" w:lineRule="auto"/>
        <w:rPr>
          <w:rFonts w:eastAsia="Times New Roman" w:cs="Times New Roman"/>
          <w:color w:val="000000"/>
          <w:sz w:val="24"/>
          <w:szCs w:val="24"/>
        </w:rPr>
      </w:pPr>
      <w:r w:rsidRPr="003C42E4">
        <w:rPr>
          <w:rFonts w:eastAsia="Times New Roman" w:cs="Times New Roman"/>
          <w:color w:val="000000"/>
          <w:sz w:val="24"/>
          <w:szCs w:val="24"/>
        </w:rPr>
        <w:t xml:space="preserve">Table </w:t>
      </w:r>
      <w:r w:rsidR="00FF3E21">
        <w:rPr>
          <w:rFonts w:eastAsia="Times New Roman" w:cs="Times New Roman"/>
          <w:color w:val="000000"/>
          <w:sz w:val="24"/>
          <w:szCs w:val="24"/>
        </w:rPr>
        <w:t>9</w:t>
      </w:r>
    </w:p>
    <w:p w:rsidRPr="00B27EFB" w:rsidR="00A02E24" w:rsidP="00B27EFB" w:rsidRDefault="00A02E24" w14:paraId="6DE9A1E2" w14:textId="2CF51851">
      <w:pPr>
        <w:pStyle w:val="NoSpacing"/>
        <w:rPr>
          <w:i/>
          <w:iCs/>
          <w:sz w:val="24"/>
          <w:szCs w:val="24"/>
        </w:rPr>
      </w:pPr>
      <w:r w:rsidRPr="003C42E4">
        <w:rPr>
          <w:rFonts w:eastAsia="Times New Roman" w:cs="Times New Roman"/>
          <w:i/>
          <w:iCs/>
          <w:color w:val="000000"/>
          <w:sz w:val="24"/>
          <w:szCs w:val="24"/>
        </w:rPr>
        <w:t>Excellent Teacher</w:t>
      </w:r>
      <w:r w:rsidR="00B27EFB">
        <w:rPr>
          <w:rFonts w:eastAsia="Times New Roman" w:cs="Times New Roman"/>
          <w:i/>
          <w:iCs/>
          <w:color w:val="000000"/>
          <w:sz w:val="24"/>
          <w:szCs w:val="24"/>
        </w:rPr>
        <w:t xml:space="preserve"> </w:t>
      </w:r>
      <w:r w:rsidRPr="003C42E4" w:rsidR="00B27EFB">
        <w:rPr>
          <w:i/>
          <w:iCs/>
          <w:sz w:val="24"/>
          <w:szCs w:val="24"/>
        </w:rPr>
        <w:t>by College and</w:t>
      </w:r>
      <w:r w:rsidR="00B27EFB">
        <w:rPr>
          <w:i/>
          <w:iCs/>
          <w:sz w:val="24"/>
          <w:szCs w:val="24"/>
        </w:rPr>
        <w:t xml:space="preserve"> TIG</w:t>
      </w:r>
      <w:r w:rsidRPr="003C42E4" w:rsidR="00B27EFB">
        <w:rPr>
          <w:i/>
          <w:iCs/>
          <w:sz w:val="24"/>
          <w:szCs w:val="24"/>
        </w:rPr>
        <w:t xml:space="preserve"> Participation</w:t>
      </w:r>
    </w:p>
    <w:tbl>
      <w:tblPr>
        <w:tblW w:w="5000" w:type="pct"/>
        <w:tblLook w:val="04A0" w:firstRow="1" w:lastRow="0" w:firstColumn="1" w:lastColumn="0" w:noHBand="0" w:noVBand="1"/>
      </w:tblPr>
      <w:tblGrid>
        <w:gridCol w:w="4350"/>
        <w:gridCol w:w="1080"/>
        <w:gridCol w:w="1142"/>
        <w:gridCol w:w="1002"/>
        <w:gridCol w:w="1142"/>
        <w:gridCol w:w="644"/>
      </w:tblGrid>
      <w:tr w:rsidRPr="00BF5661" w:rsidR="00BF5661" w:rsidTr="004C422D" w14:paraId="6370E655" w14:textId="77777777">
        <w:trPr>
          <w:trHeight w:val="288"/>
        </w:trPr>
        <w:tc>
          <w:tcPr>
            <w:tcW w:w="2331" w:type="pct"/>
            <w:tcBorders>
              <w:top w:val="single" w:color="auto" w:sz="4" w:space="0"/>
              <w:left w:val="nil"/>
              <w:right w:val="nil"/>
            </w:tcBorders>
            <w:shd w:val="clear" w:color="auto" w:fill="auto"/>
            <w:noWrap/>
            <w:vAlign w:val="bottom"/>
          </w:tcPr>
          <w:p w:rsidRPr="00BF5661" w:rsidR="00BF5661" w:rsidP="000C216E" w:rsidRDefault="00BF5661" w14:paraId="538B5D42" w14:textId="552EE0D3">
            <w:pPr>
              <w:pStyle w:val="NoSpacing"/>
              <w:rPr>
                <w:rFonts w:eastAsia="Times New Roman"/>
                <w:sz w:val="24"/>
                <w:szCs w:val="24"/>
              </w:rPr>
            </w:pPr>
          </w:p>
        </w:tc>
        <w:tc>
          <w:tcPr>
            <w:tcW w:w="542" w:type="pct"/>
            <w:tcBorders>
              <w:top w:val="single" w:color="auto" w:sz="4" w:space="0"/>
              <w:left w:val="nil"/>
              <w:bottom w:val="single" w:color="auto" w:sz="4" w:space="0"/>
              <w:right w:val="nil"/>
            </w:tcBorders>
            <w:shd w:val="clear" w:color="auto" w:fill="auto"/>
            <w:noWrap/>
            <w:vAlign w:val="bottom"/>
          </w:tcPr>
          <w:p w:rsidRPr="004C422D" w:rsidR="00BF5661" w:rsidP="000C216E" w:rsidRDefault="004C422D" w14:paraId="24858625" w14:textId="06D675A8">
            <w:pPr>
              <w:pStyle w:val="NoSpacing"/>
              <w:rPr>
                <w:rFonts w:eastAsia="Times New Roman"/>
                <w:sz w:val="24"/>
                <w:szCs w:val="24"/>
              </w:rPr>
            </w:pPr>
            <w:r w:rsidRPr="004C422D">
              <w:rPr>
                <w:rFonts w:eastAsia="Times New Roman"/>
                <w:sz w:val="24"/>
                <w:szCs w:val="24"/>
              </w:rPr>
              <w:t>Non-TIG</w:t>
            </w:r>
          </w:p>
        </w:tc>
        <w:tc>
          <w:tcPr>
            <w:tcW w:w="617" w:type="pct"/>
            <w:tcBorders>
              <w:top w:val="single" w:color="auto" w:sz="4" w:space="0"/>
              <w:left w:val="nil"/>
              <w:bottom w:val="single" w:color="auto" w:sz="4" w:space="0"/>
              <w:right w:val="nil"/>
            </w:tcBorders>
            <w:shd w:val="clear" w:color="auto" w:fill="auto"/>
            <w:noWrap/>
            <w:vAlign w:val="bottom"/>
          </w:tcPr>
          <w:p w:rsidRPr="004C422D" w:rsidR="00BF5661" w:rsidP="000C216E" w:rsidRDefault="00BF5661" w14:paraId="3177F2C3" w14:textId="0E519596">
            <w:pPr>
              <w:pStyle w:val="NoSpacing"/>
              <w:rPr>
                <w:rFonts w:eastAsia="Times New Roman"/>
                <w:sz w:val="24"/>
                <w:szCs w:val="24"/>
              </w:rPr>
            </w:pPr>
          </w:p>
        </w:tc>
        <w:tc>
          <w:tcPr>
            <w:tcW w:w="542" w:type="pct"/>
            <w:tcBorders>
              <w:top w:val="single" w:color="auto" w:sz="4" w:space="0"/>
              <w:left w:val="nil"/>
              <w:bottom w:val="single" w:color="auto" w:sz="4" w:space="0"/>
              <w:right w:val="nil"/>
            </w:tcBorders>
            <w:shd w:val="clear" w:color="auto" w:fill="auto"/>
            <w:noWrap/>
            <w:vAlign w:val="bottom"/>
          </w:tcPr>
          <w:p w:rsidRPr="004C422D" w:rsidR="00BF5661" w:rsidP="000C216E" w:rsidRDefault="004C422D" w14:paraId="61A8FAF4" w14:textId="17F27569">
            <w:pPr>
              <w:pStyle w:val="NoSpacing"/>
              <w:rPr>
                <w:rFonts w:eastAsia="Times New Roman"/>
                <w:sz w:val="24"/>
                <w:szCs w:val="24"/>
              </w:rPr>
            </w:pPr>
            <w:r w:rsidRPr="004C422D">
              <w:rPr>
                <w:rFonts w:eastAsia="Times New Roman"/>
                <w:sz w:val="24"/>
                <w:szCs w:val="24"/>
              </w:rPr>
              <w:t>TIG</w:t>
            </w:r>
          </w:p>
        </w:tc>
        <w:tc>
          <w:tcPr>
            <w:tcW w:w="617" w:type="pct"/>
            <w:tcBorders>
              <w:top w:val="single" w:color="auto" w:sz="4" w:space="0"/>
              <w:left w:val="nil"/>
              <w:bottom w:val="single" w:color="auto" w:sz="4" w:space="0"/>
              <w:right w:val="nil"/>
            </w:tcBorders>
            <w:shd w:val="clear" w:color="auto" w:fill="auto"/>
            <w:noWrap/>
            <w:vAlign w:val="bottom"/>
          </w:tcPr>
          <w:p w:rsidRPr="00BF5661" w:rsidR="00BF5661" w:rsidP="000C216E" w:rsidRDefault="00BF5661" w14:paraId="2AB053DC" w14:textId="4BBA03A4">
            <w:pPr>
              <w:pStyle w:val="NoSpacing"/>
              <w:rPr>
                <w:rFonts w:eastAsia="Times New Roman"/>
                <w:i/>
                <w:iCs/>
                <w:sz w:val="24"/>
                <w:szCs w:val="24"/>
              </w:rPr>
            </w:pPr>
          </w:p>
        </w:tc>
        <w:tc>
          <w:tcPr>
            <w:tcW w:w="351" w:type="pct"/>
            <w:tcBorders>
              <w:top w:val="single" w:color="auto" w:sz="4" w:space="0"/>
              <w:left w:val="nil"/>
              <w:bottom w:val="single" w:color="auto" w:sz="4" w:space="0"/>
              <w:right w:val="nil"/>
            </w:tcBorders>
            <w:vAlign w:val="bottom"/>
          </w:tcPr>
          <w:p w:rsidRPr="00BF5661" w:rsidR="00BF5661" w:rsidP="000C216E" w:rsidRDefault="00BF5661" w14:paraId="498DE401" w14:textId="4276341D">
            <w:pPr>
              <w:pStyle w:val="NoSpacing"/>
              <w:rPr>
                <w:rFonts w:eastAsia="Times New Roman"/>
                <w:i/>
                <w:iCs/>
                <w:sz w:val="24"/>
                <w:szCs w:val="24"/>
              </w:rPr>
            </w:pPr>
          </w:p>
        </w:tc>
      </w:tr>
      <w:tr w:rsidRPr="00BF5661" w:rsidR="004C422D" w:rsidTr="004C422D" w14:paraId="58079FDC" w14:textId="77777777">
        <w:trPr>
          <w:trHeight w:val="288"/>
        </w:trPr>
        <w:tc>
          <w:tcPr>
            <w:tcW w:w="2331" w:type="pct"/>
            <w:tcBorders>
              <w:left w:val="nil"/>
              <w:bottom w:val="single" w:color="auto" w:sz="4" w:space="0"/>
              <w:right w:val="nil"/>
            </w:tcBorders>
            <w:shd w:val="clear" w:color="auto" w:fill="auto"/>
            <w:noWrap/>
            <w:vAlign w:val="bottom"/>
          </w:tcPr>
          <w:p w:rsidRPr="00BF5661" w:rsidR="004C422D" w:rsidP="004C422D" w:rsidRDefault="004C422D" w14:paraId="77CE2A43" w14:textId="7A4BB843">
            <w:pPr>
              <w:pStyle w:val="NoSpacing"/>
              <w:rPr>
                <w:rFonts w:eastAsia="Times New Roman"/>
                <w:sz w:val="24"/>
                <w:szCs w:val="24"/>
              </w:rPr>
            </w:pPr>
            <w:r w:rsidRPr="00BF5661">
              <w:rPr>
                <w:rFonts w:eastAsia="Times New Roman"/>
                <w:sz w:val="24"/>
                <w:szCs w:val="24"/>
              </w:rPr>
              <w:t>College</w:t>
            </w:r>
          </w:p>
        </w:tc>
        <w:tc>
          <w:tcPr>
            <w:tcW w:w="542" w:type="pct"/>
            <w:tcBorders>
              <w:top w:val="single" w:color="auto" w:sz="4" w:space="0"/>
              <w:left w:val="nil"/>
              <w:bottom w:val="single" w:color="auto" w:sz="4" w:space="0"/>
              <w:right w:val="nil"/>
            </w:tcBorders>
            <w:shd w:val="clear" w:color="auto" w:fill="auto"/>
            <w:noWrap/>
            <w:vAlign w:val="bottom"/>
          </w:tcPr>
          <w:p w:rsidRPr="00BF5661" w:rsidR="004C422D" w:rsidP="004C422D" w:rsidRDefault="004C422D" w14:paraId="3B3847E6" w14:textId="45E8DA13">
            <w:pPr>
              <w:pStyle w:val="NoSpacing"/>
              <w:rPr>
                <w:rFonts w:eastAsia="Times New Roman"/>
                <w:i/>
                <w:iCs/>
                <w:sz w:val="24"/>
                <w:szCs w:val="24"/>
              </w:rPr>
            </w:pPr>
            <w:r w:rsidRPr="00BF5661">
              <w:rPr>
                <w:rFonts w:eastAsia="Times New Roman"/>
                <w:i/>
                <w:iCs/>
                <w:sz w:val="24"/>
                <w:szCs w:val="24"/>
              </w:rPr>
              <w:t>M</w:t>
            </w:r>
          </w:p>
        </w:tc>
        <w:tc>
          <w:tcPr>
            <w:tcW w:w="617" w:type="pct"/>
            <w:tcBorders>
              <w:top w:val="single" w:color="auto" w:sz="4" w:space="0"/>
              <w:left w:val="nil"/>
              <w:bottom w:val="single" w:color="auto" w:sz="4" w:space="0"/>
              <w:right w:val="nil"/>
            </w:tcBorders>
            <w:shd w:val="clear" w:color="auto" w:fill="auto"/>
            <w:noWrap/>
            <w:vAlign w:val="bottom"/>
          </w:tcPr>
          <w:p w:rsidRPr="00BF5661" w:rsidR="004C422D" w:rsidP="004C422D" w:rsidRDefault="004C422D" w14:paraId="792B0A42" w14:textId="1102EEEF">
            <w:pPr>
              <w:pStyle w:val="NoSpacing"/>
              <w:rPr>
                <w:rFonts w:eastAsia="Times New Roman"/>
                <w:i/>
                <w:iCs/>
                <w:sz w:val="24"/>
                <w:szCs w:val="24"/>
              </w:rPr>
            </w:pPr>
            <w:r w:rsidRPr="00BF5661">
              <w:rPr>
                <w:rFonts w:eastAsia="Times New Roman"/>
                <w:i/>
                <w:iCs/>
                <w:sz w:val="24"/>
                <w:szCs w:val="24"/>
              </w:rPr>
              <w:t>SD</w:t>
            </w:r>
          </w:p>
        </w:tc>
        <w:tc>
          <w:tcPr>
            <w:tcW w:w="542" w:type="pct"/>
            <w:tcBorders>
              <w:top w:val="single" w:color="auto" w:sz="4" w:space="0"/>
              <w:left w:val="nil"/>
              <w:bottom w:val="single" w:color="auto" w:sz="4" w:space="0"/>
              <w:right w:val="nil"/>
            </w:tcBorders>
            <w:shd w:val="clear" w:color="auto" w:fill="auto"/>
            <w:noWrap/>
            <w:vAlign w:val="bottom"/>
          </w:tcPr>
          <w:p w:rsidRPr="00BF5661" w:rsidR="004C422D" w:rsidP="004C422D" w:rsidRDefault="004C422D" w14:paraId="03357FAA" w14:textId="38950D1C">
            <w:pPr>
              <w:pStyle w:val="NoSpacing"/>
              <w:rPr>
                <w:rFonts w:eastAsia="Times New Roman"/>
                <w:i/>
                <w:iCs/>
                <w:sz w:val="24"/>
                <w:szCs w:val="24"/>
              </w:rPr>
            </w:pPr>
            <w:r w:rsidRPr="00BF5661">
              <w:rPr>
                <w:rFonts w:eastAsia="Times New Roman"/>
                <w:i/>
                <w:iCs/>
                <w:sz w:val="24"/>
                <w:szCs w:val="24"/>
              </w:rPr>
              <w:t>M</w:t>
            </w:r>
          </w:p>
        </w:tc>
        <w:tc>
          <w:tcPr>
            <w:tcW w:w="617" w:type="pct"/>
            <w:tcBorders>
              <w:top w:val="single" w:color="auto" w:sz="4" w:space="0"/>
              <w:left w:val="nil"/>
              <w:bottom w:val="single" w:color="auto" w:sz="4" w:space="0"/>
              <w:right w:val="nil"/>
            </w:tcBorders>
            <w:shd w:val="clear" w:color="auto" w:fill="auto"/>
            <w:noWrap/>
            <w:vAlign w:val="bottom"/>
          </w:tcPr>
          <w:p w:rsidRPr="00BF5661" w:rsidR="004C422D" w:rsidP="004C422D" w:rsidRDefault="004C422D" w14:paraId="366F4FA3" w14:textId="4924AD2F">
            <w:pPr>
              <w:pStyle w:val="NoSpacing"/>
              <w:rPr>
                <w:rFonts w:eastAsia="Times New Roman"/>
                <w:i/>
                <w:iCs/>
                <w:sz w:val="24"/>
                <w:szCs w:val="24"/>
              </w:rPr>
            </w:pPr>
            <w:r w:rsidRPr="00BF5661">
              <w:rPr>
                <w:rFonts w:eastAsia="Times New Roman"/>
                <w:i/>
                <w:iCs/>
                <w:sz w:val="24"/>
                <w:szCs w:val="24"/>
              </w:rPr>
              <w:t>SD</w:t>
            </w:r>
          </w:p>
        </w:tc>
        <w:tc>
          <w:tcPr>
            <w:tcW w:w="351" w:type="pct"/>
            <w:tcBorders>
              <w:top w:val="single" w:color="auto" w:sz="4" w:space="0"/>
              <w:left w:val="nil"/>
              <w:bottom w:val="single" w:color="auto" w:sz="4" w:space="0"/>
              <w:right w:val="nil"/>
            </w:tcBorders>
            <w:vAlign w:val="bottom"/>
          </w:tcPr>
          <w:p w:rsidRPr="00BF5661" w:rsidR="004C422D" w:rsidP="004C422D" w:rsidRDefault="004C422D" w14:paraId="674EE081" w14:textId="1F14BEE4">
            <w:pPr>
              <w:pStyle w:val="NoSpacing"/>
              <w:rPr>
                <w:rFonts w:eastAsia="Times New Roman"/>
                <w:i/>
                <w:iCs/>
                <w:sz w:val="24"/>
                <w:szCs w:val="24"/>
              </w:rPr>
            </w:pPr>
            <w:r w:rsidRPr="00BF5661">
              <w:rPr>
                <w:rFonts w:eastAsia="Times New Roman"/>
                <w:i/>
                <w:iCs/>
                <w:sz w:val="24"/>
                <w:szCs w:val="24"/>
              </w:rPr>
              <w:t>N</w:t>
            </w:r>
          </w:p>
        </w:tc>
      </w:tr>
      <w:tr w:rsidRPr="00BF5661" w:rsidR="004C422D" w:rsidTr="004C422D" w14:paraId="7B9E00FF" w14:textId="77777777">
        <w:trPr>
          <w:trHeight w:val="288"/>
        </w:trPr>
        <w:tc>
          <w:tcPr>
            <w:tcW w:w="2331" w:type="pct"/>
            <w:tcBorders>
              <w:top w:val="single" w:color="auto" w:sz="4" w:space="0"/>
              <w:left w:val="nil"/>
              <w:bottom w:val="nil"/>
              <w:right w:val="nil"/>
            </w:tcBorders>
            <w:shd w:val="clear" w:color="auto" w:fill="auto"/>
            <w:noWrap/>
            <w:vAlign w:val="bottom"/>
            <w:hideMark/>
          </w:tcPr>
          <w:p w:rsidRPr="00BF5661" w:rsidR="004C422D" w:rsidP="004C422D" w:rsidRDefault="004C422D" w14:paraId="4B71A73E" w14:textId="77777777">
            <w:pPr>
              <w:pStyle w:val="NoSpacing"/>
              <w:rPr>
                <w:rFonts w:eastAsia="Times New Roman"/>
                <w:sz w:val="24"/>
                <w:szCs w:val="24"/>
              </w:rPr>
            </w:pPr>
            <w:r w:rsidRPr="00BF5661">
              <w:rPr>
                <w:rFonts w:eastAsia="Times New Roman"/>
                <w:sz w:val="24"/>
                <w:szCs w:val="24"/>
              </w:rPr>
              <w:t>Arts and Media</w:t>
            </w:r>
          </w:p>
        </w:tc>
        <w:tc>
          <w:tcPr>
            <w:tcW w:w="542" w:type="pct"/>
            <w:tcBorders>
              <w:top w:val="single" w:color="auto" w:sz="4" w:space="0"/>
              <w:left w:val="nil"/>
              <w:bottom w:val="nil"/>
              <w:right w:val="nil"/>
            </w:tcBorders>
            <w:shd w:val="clear" w:color="auto" w:fill="auto"/>
            <w:noWrap/>
            <w:vAlign w:val="bottom"/>
            <w:hideMark/>
          </w:tcPr>
          <w:p w:rsidRPr="00BF5661" w:rsidR="004C422D" w:rsidP="004C422D" w:rsidRDefault="004C422D" w14:paraId="6229D1C2" w14:textId="77777777">
            <w:pPr>
              <w:pStyle w:val="NoSpacing"/>
              <w:rPr>
                <w:rFonts w:eastAsia="Times New Roman"/>
                <w:sz w:val="24"/>
                <w:szCs w:val="24"/>
              </w:rPr>
            </w:pPr>
            <w:r w:rsidRPr="00BF5661">
              <w:rPr>
                <w:sz w:val="24"/>
                <w:szCs w:val="24"/>
              </w:rPr>
              <w:t>4.2995</w:t>
            </w:r>
          </w:p>
        </w:tc>
        <w:tc>
          <w:tcPr>
            <w:tcW w:w="617" w:type="pct"/>
            <w:tcBorders>
              <w:top w:val="single" w:color="auto" w:sz="4" w:space="0"/>
              <w:left w:val="nil"/>
              <w:bottom w:val="nil"/>
              <w:right w:val="nil"/>
            </w:tcBorders>
            <w:shd w:val="clear" w:color="auto" w:fill="auto"/>
            <w:noWrap/>
            <w:vAlign w:val="bottom"/>
            <w:hideMark/>
          </w:tcPr>
          <w:p w:rsidRPr="00BF5661" w:rsidR="004C422D" w:rsidP="004C422D" w:rsidRDefault="004C422D" w14:paraId="7960F051" w14:textId="77777777">
            <w:pPr>
              <w:pStyle w:val="NoSpacing"/>
              <w:rPr>
                <w:rFonts w:eastAsia="Times New Roman"/>
                <w:sz w:val="24"/>
                <w:szCs w:val="24"/>
              </w:rPr>
            </w:pPr>
            <w:r w:rsidRPr="00BF5661">
              <w:rPr>
                <w:sz w:val="24"/>
                <w:szCs w:val="24"/>
              </w:rPr>
              <w:t>0.75436</w:t>
            </w:r>
          </w:p>
        </w:tc>
        <w:tc>
          <w:tcPr>
            <w:tcW w:w="542" w:type="pct"/>
            <w:tcBorders>
              <w:top w:val="single" w:color="auto" w:sz="4" w:space="0"/>
              <w:left w:val="nil"/>
              <w:bottom w:val="nil"/>
              <w:right w:val="nil"/>
            </w:tcBorders>
            <w:shd w:val="clear" w:color="auto" w:fill="auto"/>
            <w:noWrap/>
            <w:vAlign w:val="bottom"/>
            <w:hideMark/>
          </w:tcPr>
          <w:p w:rsidRPr="00BF5661" w:rsidR="004C422D" w:rsidP="004C422D" w:rsidRDefault="004C422D" w14:paraId="16F04266" w14:textId="77777777">
            <w:pPr>
              <w:pStyle w:val="NoSpacing"/>
              <w:rPr>
                <w:rFonts w:eastAsia="Times New Roman"/>
                <w:sz w:val="24"/>
                <w:szCs w:val="24"/>
              </w:rPr>
            </w:pPr>
            <w:r w:rsidRPr="00BF5661">
              <w:rPr>
                <w:sz w:val="24"/>
                <w:szCs w:val="24"/>
              </w:rPr>
              <w:t>4.5017</w:t>
            </w:r>
          </w:p>
        </w:tc>
        <w:tc>
          <w:tcPr>
            <w:tcW w:w="617" w:type="pct"/>
            <w:tcBorders>
              <w:top w:val="single" w:color="auto" w:sz="4" w:space="0"/>
              <w:left w:val="nil"/>
              <w:bottom w:val="nil"/>
              <w:right w:val="nil"/>
            </w:tcBorders>
            <w:shd w:val="clear" w:color="auto" w:fill="auto"/>
            <w:noWrap/>
            <w:vAlign w:val="bottom"/>
            <w:hideMark/>
          </w:tcPr>
          <w:p w:rsidRPr="00BF5661" w:rsidR="004C422D" w:rsidP="004C422D" w:rsidRDefault="004C422D" w14:paraId="1A2FF6FC" w14:textId="77777777">
            <w:pPr>
              <w:pStyle w:val="NoSpacing"/>
              <w:rPr>
                <w:rFonts w:eastAsia="Times New Roman"/>
                <w:sz w:val="24"/>
                <w:szCs w:val="24"/>
              </w:rPr>
            </w:pPr>
            <w:r w:rsidRPr="00BF5661">
              <w:rPr>
                <w:sz w:val="24"/>
                <w:szCs w:val="24"/>
              </w:rPr>
              <w:t>0.30967</w:t>
            </w:r>
          </w:p>
        </w:tc>
        <w:tc>
          <w:tcPr>
            <w:tcW w:w="351" w:type="pct"/>
            <w:tcBorders>
              <w:top w:val="single" w:color="auto" w:sz="4" w:space="0"/>
              <w:left w:val="nil"/>
              <w:bottom w:val="nil"/>
              <w:right w:val="nil"/>
            </w:tcBorders>
            <w:vAlign w:val="bottom"/>
          </w:tcPr>
          <w:p w:rsidRPr="00BF5661" w:rsidR="004C422D" w:rsidP="004C422D" w:rsidRDefault="004C422D" w14:paraId="3D22D04D" w14:textId="77777777">
            <w:pPr>
              <w:pStyle w:val="NoSpacing"/>
              <w:rPr>
                <w:rFonts w:eastAsia="Times New Roman"/>
                <w:sz w:val="24"/>
                <w:szCs w:val="24"/>
              </w:rPr>
            </w:pPr>
            <w:r w:rsidRPr="00BF5661">
              <w:rPr>
                <w:sz w:val="24"/>
                <w:szCs w:val="24"/>
              </w:rPr>
              <w:t>61</w:t>
            </w:r>
          </w:p>
        </w:tc>
      </w:tr>
      <w:tr w:rsidRPr="00BF5661" w:rsidR="004C422D" w:rsidTr="004C422D" w14:paraId="63D659DE" w14:textId="77777777">
        <w:trPr>
          <w:trHeight w:val="288"/>
        </w:trPr>
        <w:tc>
          <w:tcPr>
            <w:tcW w:w="2331" w:type="pct"/>
            <w:tcBorders>
              <w:top w:val="nil"/>
              <w:left w:val="nil"/>
              <w:bottom w:val="nil"/>
              <w:right w:val="nil"/>
            </w:tcBorders>
            <w:shd w:val="clear" w:color="auto" w:fill="auto"/>
            <w:noWrap/>
            <w:vAlign w:val="bottom"/>
            <w:hideMark/>
          </w:tcPr>
          <w:p w:rsidRPr="00BF5661" w:rsidR="004C422D" w:rsidP="004C422D" w:rsidRDefault="004C422D" w14:paraId="4A725818" w14:textId="77777777">
            <w:pPr>
              <w:pStyle w:val="NoSpacing"/>
              <w:rPr>
                <w:rFonts w:eastAsia="Times New Roman"/>
                <w:sz w:val="24"/>
                <w:szCs w:val="24"/>
              </w:rPr>
            </w:pPr>
            <w:r w:rsidRPr="00BF5661">
              <w:rPr>
                <w:rFonts w:eastAsia="Times New Roman"/>
                <w:sz w:val="24"/>
                <w:szCs w:val="24"/>
              </w:rPr>
              <w:t>Business Administration</w:t>
            </w:r>
          </w:p>
        </w:tc>
        <w:tc>
          <w:tcPr>
            <w:tcW w:w="542" w:type="pct"/>
            <w:tcBorders>
              <w:top w:val="nil"/>
              <w:left w:val="nil"/>
              <w:bottom w:val="nil"/>
              <w:right w:val="nil"/>
            </w:tcBorders>
            <w:shd w:val="clear" w:color="auto" w:fill="auto"/>
            <w:noWrap/>
            <w:vAlign w:val="bottom"/>
            <w:hideMark/>
          </w:tcPr>
          <w:p w:rsidRPr="00BF5661" w:rsidR="004C422D" w:rsidP="004C422D" w:rsidRDefault="004C422D" w14:paraId="1FAA622B" w14:textId="77777777">
            <w:pPr>
              <w:pStyle w:val="NoSpacing"/>
              <w:rPr>
                <w:rFonts w:eastAsia="Times New Roman"/>
                <w:sz w:val="24"/>
                <w:szCs w:val="24"/>
              </w:rPr>
            </w:pPr>
            <w:r w:rsidRPr="00BF5661">
              <w:rPr>
                <w:sz w:val="24"/>
                <w:szCs w:val="24"/>
              </w:rPr>
              <w:t>4.1669</w:t>
            </w:r>
          </w:p>
        </w:tc>
        <w:tc>
          <w:tcPr>
            <w:tcW w:w="617" w:type="pct"/>
            <w:tcBorders>
              <w:top w:val="nil"/>
              <w:left w:val="nil"/>
              <w:bottom w:val="nil"/>
              <w:right w:val="nil"/>
            </w:tcBorders>
            <w:shd w:val="clear" w:color="auto" w:fill="auto"/>
            <w:noWrap/>
            <w:vAlign w:val="bottom"/>
            <w:hideMark/>
          </w:tcPr>
          <w:p w:rsidRPr="00BF5661" w:rsidR="004C422D" w:rsidP="004C422D" w:rsidRDefault="004C422D" w14:paraId="6684D01B" w14:textId="77777777">
            <w:pPr>
              <w:pStyle w:val="NoSpacing"/>
              <w:rPr>
                <w:rFonts w:eastAsia="Times New Roman"/>
                <w:sz w:val="24"/>
                <w:szCs w:val="24"/>
              </w:rPr>
            </w:pPr>
            <w:r w:rsidRPr="00BF5661">
              <w:rPr>
                <w:sz w:val="24"/>
                <w:szCs w:val="24"/>
              </w:rPr>
              <w:t>0.59448</w:t>
            </w:r>
          </w:p>
        </w:tc>
        <w:tc>
          <w:tcPr>
            <w:tcW w:w="542" w:type="pct"/>
            <w:tcBorders>
              <w:top w:val="nil"/>
              <w:left w:val="nil"/>
              <w:bottom w:val="nil"/>
              <w:right w:val="nil"/>
            </w:tcBorders>
            <w:shd w:val="clear" w:color="auto" w:fill="auto"/>
            <w:noWrap/>
            <w:vAlign w:val="bottom"/>
            <w:hideMark/>
          </w:tcPr>
          <w:p w:rsidRPr="00BF5661" w:rsidR="004C422D" w:rsidP="004C422D" w:rsidRDefault="004C422D" w14:paraId="10307666" w14:textId="77777777">
            <w:pPr>
              <w:pStyle w:val="NoSpacing"/>
              <w:rPr>
                <w:rFonts w:eastAsia="Times New Roman"/>
                <w:sz w:val="24"/>
                <w:szCs w:val="24"/>
              </w:rPr>
            </w:pPr>
            <w:r w:rsidRPr="00BF5661">
              <w:rPr>
                <w:sz w:val="24"/>
                <w:szCs w:val="24"/>
              </w:rPr>
              <w:t>4.2557</w:t>
            </w:r>
          </w:p>
        </w:tc>
        <w:tc>
          <w:tcPr>
            <w:tcW w:w="617" w:type="pct"/>
            <w:tcBorders>
              <w:top w:val="nil"/>
              <w:left w:val="nil"/>
              <w:bottom w:val="nil"/>
              <w:right w:val="nil"/>
            </w:tcBorders>
            <w:shd w:val="clear" w:color="auto" w:fill="auto"/>
            <w:noWrap/>
            <w:vAlign w:val="bottom"/>
            <w:hideMark/>
          </w:tcPr>
          <w:p w:rsidRPr="00BF5661" w:rsidR="004C422D" w:rsidP="004C422D" w:rsidRDefault="004C422D" w14:paraId="2E3AF1AF" w14:textId="77777777">
            <w:pPr>
              <w:pStyle w:val="NoSpacing"/>
              <w:rPr>
                <w:rFonts w:eastAsia="Times New Roman"/>
                <w:sz w:val="24"/>
                <w:szCs w:val="24"/>
              </w:rPr>
            </w:pPr>
            <w:r w:rsidRPr="00BF5661">
              <w:rPr>
                <w:sz w:val="24"/>
                <w:szCs w:val="24"/>
              </w:rPr>
              <w:t>0.47243</w:t>
            </w:r>
          </w:p>
        </w:tc>
        <w:tc>
          <w:tcPr>
            <w:tcW w:w="351" w:type="pct"/>
            <w:tcBorders>
              <w:top w:val="nil"/>
              <w:left w:val="nil"/>
              <w:bottom w:val="nil"/>
              <w:right w:val="nil"/>
            </w:tcBorders>
            <w:vAlign w:val="bottom"/>
          </w:tcPr>
          <w:p w:rsidRPr="00BF5661" w:rsidR="004C422D" w:rsidP="004C422D" w:rsidRDefault="004C422D" w14:paraId="26569D1E" w14:textId="77777777">
            <w:pPr>
              <w:pStyle w:val="NoSpacing"/>
              <w:rPr>
                <w:rFonts w:eastAsia="Times New Roman"/>
                <w:sz w:val="24"/>
                <w:szCs w:val="24"/>
              </w:rPr>
            </w:pPr>
            <w:r w:rsidRPr="00BF5661">
              <w:rPr>
                <w:sz w:val="24"/>
                <w:szCs w:val="24"/>
              </w:rPr>
              <w:t>78</w:t>
            </w:r>
          </w:p>
        </w:tc>
      </w:tr>
      <w:tr w:rsidRPr="00BF5661" w:rsidR="004C422D" w:rsidTr="004C422D" w14:paraId="6839BD47" w14:textId="77777777">
        <w:trPr>
          <w:trHeight w:val="288"/>
        </w:trPr>
        <w:tc>
          <w:tcPr>
            <w:tcW w:w="2331" w:type="pct"/>
            <w:tcBorders>
              <w:top w:val="nil"/>
              <w:left w:val="nil"/>
              <w:bottom w:val="nil"/>
              <w:right w:val="nil"/>
            </w:tcBorders>
            <w:shd w:val="clear" w:color="auto" w:fill="auto"/>
            <w:noWrap/>
            <w:vAlign w:val="bottom"/>
            <w:hideMark/>
          </w:tcPr>
          <w:p w:rsidRPr="00BF5661" w:rsidR="004C422D" w:rsidP="004C422D" w:rsidRDefault="004C422D" w14:paraId="617164BF" w14:textId="77777777">
            <w:pPr>
              <w:pStyle w:val="NoSpacing"/>
              <w:rPr>
                <w:rFonts w:eastAsia="Times New Roman"/>
                <w:sz w:val="24"/>
                <w:szCs w:val="24"/>
              </w:rPr>
            </w:pPr>
            <w:r w:rsidRPr="00BF5661">
              <w:rPr>
                <w:rFonts w:eastAsia="Times New Roman"/>
                <w:sz w:val="24"/>
                <w:szCs w:val="24"/>
              </w:rPr>
              <w:t>Criminal Justice</w:t>
            </w:r>
          </w:p>
        </w:tc>
        <w:tc>
          <w:tcPr>
            <w:tcW w:w="542" w:type="pct"/>
            <w:tcBorders>
              <w:top w:val="nil"/>
              <w:left w:val="nil"/>
              <w:bottom w:val="nil"/>
              <w:right w:val="nil"/>
            </w:tcBorders>
            <w:shd w:val="clear" w:color="auto" w:fill="auto"/>
            <w:noWrap/>
            <w:vAlign w:val="bottom"/>
            <w:hideMark/>
          </w:tcPr>
          <w:p w:rsidRPr="00BF5661" w:rsidR="004C422D" w:rsidP="004C422D" w:rsidRDefault="004C422D" w14:paraId="5632E700" w14:textId="77777777">
            <w:pPr>
              <w:pStyle w:val="NoSpacing"/>
              <w:rPr>
                <w:rFonts w:eastAsia="Times New Roman"/>
                <w:sz w:val="24"/>
                <w:szCs w:val="24"/>
              </w:rPr>
            </w:pPr>
            <w:r w:rsidRPr="00BF5661">
              <w:rPr>
                <w:sz w:val="24"/>
                <w:szCs w:val="24"/>
              </w:rPr>
              <w:t>4.5105</w:t>
            </w:r>
          </w:p>
        </w:tc>
        <w:tc>
          <w:tcPr>
            <w:tcW w:w="617" w:type="pct"/>
            <w:tcBorders>
              <w:top w:val="nil"/>
              <w:left w:val="nil"/>
              <w:bottom w:val="nil"/>
              <w:right w:val="nil"/>
            </w:tcBorders>
            <w:shd w:val="clear" w:color="auto" w:fill="auto"/>
            <w:noWrap/>
            <w:vAlign w:val="bottom"/>
            <w:hideMark/>
          </w:tcPr>
          <w:p w:rsidRPr="00BF5661" w:rsidR="004C422D" w:rsidP="004C422D" w:rsidRDefault="004C422D" w14:paraId="79D4CF40" w14:textId="77777777">
            <w:pPr>
              <w:pStyle w:val="NoSpacing"/>
              <w:rPr>
                <w:rFonts w:eastAsia="Times New Roman"/>
                <w:sz w:val="24"/>
                <w:szCs w:val="24"/>
              </w:rPr>
            </w:pPr>
            <w:r w:rsidRPr="00BF5661">
              <w:rPr>
                <w:sz w:val="24"/>
                <w:szCs w:val="24"/>
              </w:rPr>
              <w:t>0.4657</w:t>
            </w:r>
          </w:p>
        </w:tc>
        <w:tc>
          <w:tcPr>
            <w:tcW w:w="542" w:type="pct"/>
            <w:tcBorders>
              <w:top w:val="nil"/>
              <w:left w:val="nil"/>
              <w:bottom w:val="nil"/>
              <w:right w:val="nil"/>
            </w:tcBorders>
            <w:shd w:val="clear" w:color="auto" w:fill="auto"/>
            <w:noWrap/>
            <w:vAlign w:val="bottom"/>
            <w:hideMark/>
          </w:tcPr>
          <w:p w:rsidRPr="00BF5661" w:rsidR="004C422D" w:rsidP="004C422D" w:rsidRDefault="004C422D" w14:paraId="741FCBCC" w14:textId="77777777">
            <w:pPr>
              <w:pStyle w:val="NoSpacing"/>
              <w:rPr>
                <w:rFonts w:eastAsia="Times New Roman"/>
                <w:sz w:val="24"/>
                <w:szCs w:val="24"/>
              </w:rPr>
            </w:pPr>
            <w:r w:rsidRPr="00BF5661">
              <w:rPr>
                <w:sz w:val="24"/>
                <w:szCs w:val="24"/>
              </w:rPr>
              <w:t>4.44</w:t>
            </w:r>
          </w:p>
        </w:tc>
        <w:tc>
          <w:tcPr>
            <w:tcW w:w="617" w:type="pct"/>
            <w:tcBorders>
              <w:top w:val="nil"/>
              <w:left w:val="nil"/>
              <w:bottom w:val="nil"/>
              <w:right w:val="nil"/>
            </w:tcBorders>
            <w:shd w:val="clear" w:color="auto" w:fill="auto"/>
            <w:noWrap/>
            <w:vAlign w:val="bottom"/>
            <w:hideMark/>
          </w:tcPr>
          <w:p w:rsidRPr="00BF5661" w:rsidR="004C422D" w:rsidP="004C422D" w:rsidRDefault="004C422D" w14:paraId="02DA5390" w14:textId="77777777">
            <w:pPr>
              <w:pStyle w:val="NoSpacing"/>
              <w:rPr>
                <w:rFonts w:eastAsia="Times New Roman"/>
                <w:sz w:val="24"/>
                <w:szCs w:val="24"/>
              </w:rPr>
            </w:pPr>
            <w:r w:rsidRPr="00BF5661">
              <w:rPr>
                <w:sz w:val="24"/>
                <w:szCs w:val="24"/>
              </w:rPr>
              <w:t>0.64254</w:t>
            </w:r>
          </w:p>
        </w:tc>
        <w:tc>
          <w:tcPr>
            <w:tcW w:w="351" w:type="pct"/>
            <w:tcBorders>
              <w:top w:val="nil"/>
              <w:left w:val="nil"/>
              <w:bottom w:val="nil"/>
              <w:right w:val="nil"/>
            </w:tcBorders>
            <w:vAlign w:val="bottom"/>
          </w:tcPr>
          <w:p w:rsidRPr="00BF5661" w:rsidR="004C422D" w:rsidP="004C422D" w:rsidRDefault="004C422D" w14:paraId="0CC477EF" w14:textId="77777777">
            <w:pPr>
              <w:pStyle w:val="NoSpacing"/>
              <w:rPr>
                <w:rFonts w:eastAsia="Times New Roman"/>
                <w:sz w:val="24"/>
                <w:szCs w:val="24"/>
              </w:rPr>
            </w:pPr>
            <w:r w:rsidRPr="00BF5661">
              <w:rPr>
                <w:sz w:val="24"/>
                <w:szCs w:val="24"/>
              </w:rPr>
              <w:t>41</w:t>
            </w:r>
          </w:p>
        </w:tc>
      </w:tr>
      <w:tr w:rsidRPr="00BF5661" w:rsidR="004C422D" w:rsidTr="004C422D" w14:paraId="13007108" w14:textId="77777777">
        <w:trPr>
          <w:trHeight w:val="288"/>
        </w:trPr>
        <w:tc>
          <w:tcPr>
            <w:tcW w:w="2331" w:type="pct"/>
            <w:tcBorders>
              <w:top w:val="nil"/>
              <w:left w:val="nil"/>
              <w:bottom w:val="nil"/>
              <w:right w:val="nil"/>
            </w:tcBorders>
            <w:shd w:val="clear" w:color="auto" w:fill="auto"/>
            <w:noWrap/>
            <w:vAlign w:val="bottom"/>
            <w:hideMark/>
          </w:tcPr>
          <w:p w:rsidRPr="00BF5661" w:rsidR="004C422D" w:rsidP="004C422D" w:rsidRDefault="004C422D" w14:paraId="6ADF8A91" w14:textId="77777777">
            <w:pPr>
              <w:pStyle w:val="NoSpacing"/>
              <w:rPr>
                <w:rFonts w:eastAsia="Times New Roman"/>
                <w:sz w:val="24"/>
                <w:szCs w:val="24"/>
              </w:rPr>
            </w:pPr>
            <w:r w:rsidRPr="00BF5661">
              <w:rPr>
                <w:rFonts w:eastAsia="Times New Roman"/>
                <w:sz w:val="24"/>
                <w:szCs w:val="24"/>
              </w:rPr>
              <w:lastRenderedPageBreak/>
              <w:t>Education</w:t>
            </w:r>
          </w:p>
        </w:tc>
        <w:tc>
          <w:tcPr>
            <w:tcW w:w="542" w:type="pct"/>
            <w:tcBorders>
              <w:top w:val="nil"/>
              <w:left w:val="nil"/>
              <w:bottom w:val="nil"/>
              <w:right w:val="nil"/>
            </w:tcBorders>
            <w:shd w:val="clear" w:color="auto" w:fill="auto"/>
            <w:noWrap/>
            <w:vAlign w:val="bottom"/>
            <w:hideMark/>
          </w:tcPr>
          <w:p w:rsidRPr="00BF5661" w:rsidR="004C422D" w:rsidP="004C422D" w:rsidRDefault="004C422D" w14:paraId="1CD3C5E1" w14:textId="77777777">
            <w:pPr>
              <w:pStyle w:val="NoSpacing"/>
              <w:rPr>
                <w:rFonts w:eastAsia="Times New Roman"/>
                <w:sz w:val="24"/>
                <w:szCs w:val="24"/>
              </w:rPr>
            </w:pPr>
            <w:r w:rsidRPr="00BF5661">
              <w:rPr>
                <w:sz w:val="24"/>
                <w:szCs w:val="24"/>
              </w:rPr>
              <w:t>4.4165</w:t>
            </w:r>
          </w:p>
        </w:tc>
        <w:tc>
          <w:tcPr>
            <w:tcW w:w="617" w:type="pct"/>
            <w:tcBorders>
              <w:top w:val="nil"/>
              <w:left w:val="nil"/>
              <w:bottom w:val="nil"/>
              <w:right w:val="nil"/>
            </w:tcBorders>
            <w:shd w:val="clear" w:color="auto" w:fill="auto"/>
            <w:noWrap/>
            <w:vAlign w:val="bottom"/>
            <w:hideMark/>
          </w:tcPr>
          <w:p w:rsidRPr="00BF5661" w:rsidR="004C422D" w:rsidP="004C422D" w:rsidRDefault="004C422D" w14:paraId="035AFD1E" w14:textId="77777777">
            <w:pPr>
              <w:pStyle w:val="NoSpacing"/>
              <w:rPr>
                <w:rFonts w:eastAsia="Times New Roman"/>
                <w:sz w:val="24"/>
                <w:szCs w:val="24"/>
              </w:rPr>
            </w:pPr>
            <w:r w:rsidRPr="00BF5661">
              <w:rPr>
                <w:sz w:val="24"/>
                <w:szCs w:val="24"/>
              </w:rPr>
              <w:t>0.67474</w:t>
            </w:r>
          </w:p>
        </w:tc>
        <w:tc>
          <w:tcPr>
            <w:tcW w:w="542" w:type="pct"/>
            <w:tcBorders>
              <w:top w:val="nil"/>
              <w:left w:val="nil"/>
              <w:bottom w:val="nil"/>
              <w:right w:val="nil"/>
            </w:tcBorders>
            <w:shd w:val="clear" w:color="auto" w:fill="auto"/>
            <w:noWrap/>
            <w:vAlign w:val="bottom"/>
            <w:hideMark/>
          </w:tcPr>
          <w:p w:rsidRPr="00BF5661" w:rsidR="004C422D" w:rsidP="004C422D" w:rsidRDefault="004C422D" w14:paraId="54AD1A19" w14:textId="77777777">
            <w:pPr>
              <w:pStyle w:val="NoSpacing"/>
              <w:rPr>
                <w:rFonts w:eastAsia="Times New Roman"/>
                <w:sz w:val="24"/>
                <w:szCs w:val="24"/>
              </w:rPr>
            </w:pPr>
            <w:r w:rsidRPr="00BF5661">
              <w:rPr>
                <w:sz w:val="24"/>
                <w:szCs w:val="24"/>
              </w:rPr>
              <w:t>4.5054</w:t>
            </w:r>
          </w:p>
        </w:tc>
        <w:tc>
          <w:tcPr>
            <w:tcW w:w="617" w:type="pct"/>
            <w:tcBorders>
              <w:top w:val="nil"/>
              <w:left w:val="nil"/>
              <w:bottom w:val="nil"/>
              <w:right w:val="nil"/>
            </w:tcBorders>
            <w:shd w:val="clear" w:color="auto" w:fill="auto"/>
            <w:noWrap/>
            <w:vAlign w:val="bottom"/>
            <w:hideMark/>
          </w:tcPr>
          <w:p w:rsidRPr="00BF5661" w:rsidR="004C422D" w:rsidP="004C422D" w:rsidRDefault="004C422D" w14:paraId="0FCF25C0" w14:textId="77777777">
            <w:pPr>
              <w:pStyle w:val="NoSpacing"/>
              <w:rPr>
                <w:rFonts w:eastAsia="Times New Roman"/>
                <w:sz w:val="24"/>
                <w:szCs w:val="24"/>
              </w:rPr>
            </w:pPr>
            <w:r w:rsidRPr="00BF5661">
              <w:rPr>
                <w:sz w:val="24"/>
                <w:szCs w:val="24"/>
              </w:rPr>
              <w:t>0.75719</w:t>
            </w:r>
          </w:p>
        </w:tc>
        <w:tc>
          <w:tcPr>
            <w:tcW w:w="351" w:type="pct"/>
            <w:tcBorders>
              <w:top w:val="nil"/>
              <w:left w:val="nil"/>
              <w:bottom w:val="nil"/>
              <w:right w:val="nil"/>
            </w:tcBorders>
            <w:vAlign w:val="bottom"/>
          </w:tcPr>
          <w:p w:rsidRPr="00BF5661" w:rsidR="004C422D" w:rsidP="004C422D" w:rsidRDefault="004C422D" w14:paraId="18E7E31C" w14:textId="77777777">
            <w:pPr>
              <w:pStyle w:val="NoSpacing"/>
              <w:rPr>
                <w:rFonts w:eastAsia="Times New Roman"/>
                <w:sz w:val="24"/>
                <w:szCs w:val="24"/>
              </w:rPr>
            </w:pPr>
            <w:r w:rsidRPr="00BF5661">
              <w:rPr>
                <w:sz w:val="24"/>
                <w:szCs w:val="24"/>
              </w:rPr>
              <w:t>66</w:t>
            </w:r>
          </w:p>
        </w:tc>
      </w:tr>
      <w:tr w:rsidRPr="00BF5661" w:rsidR="004C422D" w:rsidTr="004C422D" w14:paraId="61DB41D5" w14:textId="77777777">
        <w:trPr>
          <w:trHeight w:val="288"/>
        </w:trPr>
        <w:tc>
          <w:tcPr>
            <w:tcW w:w="2331" w:type="pct"/>
            <w:tcBorders>
              <w:top w:val="nil"/>
              <w:left w:val="nil"/>
              <w:bottom w:val="nil"/>
              <w:right w:val="nil"/>
            </w:tcBorders>
            <w:shd w:val="clear" w:color="auto" w:fill="auto"/>
            <w:noWrap/>
            <w:vAlign w:val="bottom"/>
            <w:hideMark/>
          </w:tcPr>
          <w:p w:rsidRPr="00BF5661" w:rsidR="004C422D" w:rsidP="004C422D" w:rsidRDefault="004C422D" w14:paraId="0E2E5B79" w14:textId="77777777">
            <w:pPr>
              <w:pStyle w:val="NoSpacing"/>
              <w:rPr>
                <w:rFonts w:eastAsia="Times New Roman"/>
                <w:sz w:val="24"/>
                <w:szCs w:val="24"/>
              </w:rPr>
            </w:pPr>
            <w:r w:rsidRPr="00BF5661">
              <w:rPr>
                <w:rFonts w:eastAsia="Times New Roman"/>
                <w:sz w:val="24"/>
                <w:szCs w:val="24"/>
              </w:rPr>
              <w:t>Health Sciences</w:t>
            </w:r>
          </w:p>
        </w:tc>
        <w:tc>
          <w:tcPr>
            <w:tcW w:w="542" w:type="pct"/>
            <w:tcBorders>
              <w:top w:val="nil"/>
              <w:left w:val="nil"/>
              <w:bottom w:val="nil"/>
              <w:right w:val="nil"/>
            </w:tcBorders>
            <w:shd w:val="clear" w:color="auto" w:fill="auto"/>
            <w:noWrap/>
            <w:vAlign w:val="bottom"/>
            <w:hideMark/>
          </w:tcPr>
          <w:p w:rsidRPr="00BF5661" w:rsidR="004C422D" w:rsidP="004C422D" w:rsidRDefault="004C422D" w14:paraId="2377F1FF" w14:textId="77777777">
            <w:pPr>
              <w:pStyle w:val="NoSpacing"/>
              <w:rPr>
                <w:rFonts w:eastAsia="Times New Roman"/>
                <w:sz w:val="24"/>
                <w:szCs w:val="24"/>
              </w:rPr>
            </w:pPr>
            <w:r w:rsidRPr="00BF5661">
              <w:rPr>
                <w:sz w:val="24"/>
                <w:szCs w:val="24"/>
              </w:rPr>
              <w:t>4.3746</w:t>
            </w:r>
          </w:p>
        </w:tc>
        <w:tc>
          <w:tcPr>
            <w:tcW w:w="617" w:type="pct"/>
            <w:tcBorders>
              <w:top w:val="nil"/>
              <w:left w:val="nil"/>
              <w:bottom w:val="nil"/>
              <w:right w:val="nil"/>
            </w:tcBorders>
            <w:shd w:val="clear" w:color="auto" w:fill="auto"/>
            <w:noWrap/>
            <w:vAlign w:val="bottom"/>
            <w:hideMark/>
          </w:tcPr>
          <w:p w:rsidRPr="00BF5661" w:rsidR="004C422D" w:rsidP="004C422D" w:rsidRDefault="004C422D" w14:paraId="4B8B9096" w14:textId="77777777">
            <w:pPr>
              <w:pStyle w:val="NoSpacing"/>
              <w:rPr>
                <w:rFonts w:eastAsia="Times New Roman"/>
                <w:sz w:val="24"/>
                <w:szCs w:val="24"/>
              </w:rPr>
            </w:pPr>
            <w:r w:rsidRPr="00BF5661">
              <w:rPr>
                <w:sz w:val="24"/>
                <w:szCs w:val="24"/>
              </w:rPr>
              <w:t>0.49634</w:t>
            </w:r>
          </w:p>
        </w:tc>
        <w:tc>
          <w:tcPr>
            <w:tcW w:w="542" w:type="pct"/>
            <w:tcBorders>
              <w:top w:val="nil"/>
              <w:left w:val="nil"/>
              <w:bottom w:val="nil"/>
              <w:right w:val="nil"/>
            </w:tcBorders>
            <w:shd w:val="clear" w:color="auto" w:fill="auto"/>
            <w:noWrap/>
            <w:vAlign w:val="bottom"/>
            <w:hideMark/>
          </w:tcPr>
          <w:p w:rsidRPr="00BF5661" w:rsidR="004C422D" w:rsidP="004C422D" w:rsidRDefault="004C422D" w14:paraId="4436B93C" w14:textId="77777777">
            <w:pPr>
              <w:pStyle w:val="NoSpacing"/>
              <w:rPr>
                <w:rFonts w:eastAsia="Times New Roman"/>
                <w:sz w:val="24"/>
                <w:szCs w:val="24"/>
              </w:rPr>
            </w:pPr>
            <w:r w:rsidRPr="00BF5661">
              <w:rPr>
                <w:sz w:val="24"/>
                <w:szCs w:val="24"/>
              </w:rPr>
              <w:t>4.3186</w:t>
            </w:r>
          </w:p>
        </w:tc>
        <w:tc>
          <w:tcPr>
            <w:tcW w:w="617" w:type="pct"/>
            <w:tcBorders>
              <w:top w:val="nil"/>
              <w:left w:val="nil"/>
              <w:bottom w:val="nil"/>
              <w:right w:val="nil"/>
            </w:tcBorders>
            <w:shd w:val="clear" w:color="auto" w:fill="auto"/>
            <w:noWrap/>
            <w:vAlign w:val="bottom"/>
            <w:hideMark/>
          </w:tcPr>
          <w:p w:rsidRPr="00BF5661" w:rsidR="004C422D" w:rsidP="004C422D" w:rsidRDefault="004C422D" w14:paraId="026D1E79" w14:textId="77777777">
            <w:pPr>
              <w:pStyle w:val="NoSpacing"/>
              <w:rPr>
                <w:rFonts w:eastAsia="Times New Roman"/>
                <w:sz w:val="24"/>
                <w:szCs w:val="24"/>
              </w:rPr>
            </w:pPr>
            <w:r w:rsidRPr="00BF5661">
              <w:rPr>
                <w:sz w:val="24"/>
                <w:szCs w:val="24"/>
              </w:rPr>
              <w:t>0.62403</w:t>
            </w:r>
          </w:p>
        </w:tc>
        <w:tc>
          <w:tcPr>
            <w:tcW w:w="351" w:type="pct"/>
            <w:tcBorders>
              <w:top w:val="nil"/>
              <w:left w:val="nil"/>
              <w:bottom w:val="nil"/>
              <w:right w:val="nil"/>
            </w:tcBorders>
            <w:vAlign w:val="bottom"/>
          </w:tcPr>
          <w:p w:rsidRPr="00BF5661" w:rsidR="004C422D" w:rsidP="004C422D" w:rsidRDefault="004C422D" w14:paraId="2F36BC1C" w14:textId="77777777">
            <w:pPr>
              <w:pStyle w:val="NoSpacing"/>
              <w:rPr>
                <w:rFonts w:eastAsia="Times New Roman"/>
                <w:sz w:val="24"/>
                <w:szCs w:val="24"/>
              </w:rPr>
            </w:pPr>
            <w:r w:rsidRPr="00BF5661">
              <w:rPr>
                <w:sz w:val="24"/>
                <w:szCs w:val="24"/>
              </w:rPr>
              <w:t>63</w:t>
            </w:r>
          </w:p>
        </w:tc>
      </w:tr>
      <w:tr w:rsidRPr="00BF5661" w:rsidR="004C422D" w:rsidTr="004C422D" w14:paraId="59AD518C" w14:textId="77777777">
        <w:trPr>
          <w:trHeight w:val="288"/>
        </w:trPr>
        <w:tc>
          <w:tcPr>
            <w:tcW w:w="2331" w:type="pct"/>
            <w:tcBorders>
              <w:top w:val="nil"/>
              <w:left w:val="nil"/>
              <w:right w:val="nil"/>
            </w:tcBorders>
            <w:shd w:val="clear" w:color="auto" w:fill="auto"/>
            <w:noWrap/>
            <w:vAlign w:val="bottom"/>
            <w:hideMark/>
          </w:tcPr>
          <w:p w:rsidRPr="00BF5661" w:rsidR="004C422D" w:rsidP="004C422D" w:rsidRDefault="004C422D" w14:paraId="564BE6E4" w14:textId="77777777">
            <w:pPr>
              <w:pStyle w:val="NoSpacing"/>
              <w:rPr>
                <w:rFonts w:eastAsia="Times New Roman"/>
                <w:sz w:val="24"/>
                <w:szCs w:val="24"/>
              </w:rPr>
            </w:pPr>
            <w:r w:rsidRPr="00BF5661">
              <w:rPr>
                <w:rFonts w:eastAsia="Times New Roman"/>
                <w:sz w:val="24"/>
                <w:szCs w:val="24"/>
              </w:rPr>
              <w:t>Humanities and Social Sciences</w:t>
            </w:r>
          </w:p>
        </w:tc>
        <w:tc>
          <w:tcPr>
            <w:tcW w:w="542" w:type="pct"/>
            <w:tcBorders>
              <w:top w:val="nil"/>
              <w:left w:val="nil"/>
              <w:right w:val="nil"/>
            </w:tcBorders>
            <w:shd w:val="clear" w:color="auto" w:fill="auto"/>
            <w:noWrap/>
            <w:vAlign w:val="bottom"/>
            <w:hideMark/>
          </w:tcPr>
          <w:p w:rsidRPr="00BF5661" w:rsidR="004C422D" w:rsidP="004C422D" w:rsidRDefault="004C422D" w14:paraId="38E58C13" w14:textId="77777777">
            <w:pPr>
              <w:pStyle w:val="NoSpacing"/>
              <w:rPr>
                <w:rFonts w:eastAsia="Times New Roman"/>
                <w:sz w:val="24"/>
                <w:szCs w:val="24"/>
              </w:rPr>
            </w:pPr>
            <w:r w:rsidRPr="00BF5661">
              <w:rPr>
                <w:sz w:val="24"/>
                <w:szCs w:val="24"/>
              </w:rPr>
              <w:t>4.2806</w:t>
            </w:r>
          </w:p>
        </w:tc>
        <w:tc>
          <w:tcPr>
            <w:tcW w:w="617" w:type="pct"/>
            <w:tcBorders>
              <w:top w:val="nil"/>
              <w:left w:val="nil"/>
              <w:right w:val="nil"/>
            </w:tcBorders>
            <w:shd w:val="clear" w:color="auto" w:fill="auto"/>
            <w:noWrap/>
            <w:vAlign w:val="bottom"/>
            <w:hideMark/>
          </w:tcPr>
          <w:p w:rsidRPr="00BF5661" w:rsidR="004C422D" w:rsidP="004C422D" w:rsidRDefault="004C422D" w14:paraId="593B872C" w14:textId="77777777">
            <w:pPr>
              <w:pStyle w:val="NoSpacing"/>
              <w:rPr>
                <w:rFonts w:eastAsia="Times New Roman"/>
                <w:sz w:val="24"/>
                <w:szCs w:val="24"/>
              </w:rPr>
            </w:pPr>
            <w:r w:rsidRPr="00BF5661">
              <w:rPr>
                <w:sz w:val="24"/>
                <w:szCs w:val="24"/>
              </w:rPr>
              <w:t>0.62272</w:t>
            </w:r>
          </w:p>
        </w:tc>
        <w:tc>
          <w:tcPr>
            <w:tcW w:w="542" w:type="pct"/>
            <w:tcBorders>
              <w:top w:val="nil"/>
              <w:left w:val="nil"/>
              <w:right w:val="nil"/>
            </w:tcBorders>
            <w:shd w:val="clear" w:color="auto" w:fill="auto"/>
            <w:noWrap/>
            <w:vAlign w:val="bottom"/>
            <w:hideMark/>
          </w:tcPr>
          <w:p w:rsidRPr="00BF5661" w:rsidR="004C422D" w:rsidP="004C422D" w:rsidRDefault="004C422D" w14:paraId="5BBD8DC1" w14:textId="77777777">
            <w:pPr>
              <w:pStyle w:val="NoSpacing"/>
              <w:rPr>
                <w:rFonts w:eastAsia="Times New Roman"/>
                <w:sz w:val="24"/>
                <w:szCs w:val="24"/>
              </w:rPr>
            </w:pPr>
            <w:r w:rsidRPr="00BF5661">
              <w:rPr>
                <w:sz w:val="24"/>
                <w:szCs w:val="24"/>
              </w:rPr>
              <w:t>4.4354</w:t>
            </w:r>
          </w:p>
        </w:tc>
        <w:tc>
          <w:tcPr>
            <w:tcW w:w="617" w:type="pct"/>
            <w:tcBorders>
              <w:top w:val="nil"/>
              <w:left w:val="nil"/>
              <w:right w:val="nil"/>
            </w:tcBorders>
            <w:shd w:val="clear" w:color="auto" w:fill="auto"/>
            <w:noWrap/>
            <w:vAlign w:val="bottom"/>
            <w:hideMark/>
          </w:tcPr>
          <w:p w:rsidRPr="00BF5661" w:rsidR="004C422D" w:rsidP="004C422D" w:rsidRDefault="004C422D" w14:paraId="11F41F1A" w14:textId="77777777">
            <w:pPr>
              <w:pStyle w:val="NoSpacing"/>
              <w:rPr>
                <w:rFonts w:eastAsia="Times New Roman"/>
                <w:sz w:val="24"/>
                <w:szCs w:val="24"/>
              </w:rPr>
            </w:pPr>
            <w:r w:rsidRPr="00BF5661">
              <w:rPr>
                <w:sz w:val="24"/>
                <w:szCs w:val="24"/>
              </w:rPr>
              <w:t>0.53672</w:t>
            </w:r>
          </w:p>
        </w:tc>
        <w:tc>
          <w:tcPr>
            <w:tcW w:w="351" w:type="pct"/>
            <w:tcBorders>
              <w:top w:val="nil"/>
              <w:left w:val="nil"/>
              <w:right w:val="nil"/>
            </w:tcBorders>
            <w:vAlign w:val="bottom"/>
          </w:tcPr>
          <w:p w:rsidRPr="00BF5661" w:rsidR="004C422D" w:rsidP="004C422D" w:rsidRDefault="004C422D" w14:paraId="5D59D0D5" w14:textId="77777777">
            <w:pPr>
              <w:pStyle w:val="NoSpacing"/>
              <w:rPr>
                <w:rFonts w:eastAsia="Times New Roman"/>
                <w:sz w:val="24"/>
                <w:szCs w:val="24"/>
              </w:rPr>
            </w:pPr>
            <w:r w:rsidRPr="00BF5661">
              <w:rPr>
                <w:sz w:val="24"/>
                <w:szCs w:val="24"/>
              </w:rPr>
              <w:t>180</w:t>
            </w:r>
          </w:p>
        </w:tc>
      </w:tr>
      <w:tr w:rsidRPr="00BF5661" w:rsidR="004C422D" w:rsidTr="004C422D" w14:paraId="52A4A08C" w14:textId="77777777">
        <w:trPr>
          <w:trHeight w:val="288"/>
        </w:trPr>
        <w:tc>
          <w:tcPr>
            <w:tcW w:w="2331" w:type="pct"/>
            <w:tcBorders>
              <w:top w:val="nil"/>
              <w:left w:val="nil"/>
              <w:bottom w:val="single" w:color="auto" w:sz="4" w:space="0"/>
              <w:right w:val="nil"/>
            </w:tcBorders>
            <w:shd w:val="clear" w:color="auto" w:fill="auto"/>
            <w:noWrap/>
            <w:vAlign w:val="bottom"/>
            <w:hideMark/>
          </w:tcPr>
          <w:p w:rsidRPr="00BF5661" w:rsidR="004C422D" w:rsidP="004C422D" w:rsidRDefault="004C422D" w14:paraId="48248933" w14:textId="77777777">
            <w:pPr>
              <w:pStyle w:val="NoSpacing"/>
              <w:rPr>
                <w:rFonts w:eastAsia="Times New Roman"/>
                <w:sz w:val="24"/>
                <w:szCs w:val="24"/>
              </w:rPr>
            </w:pPr>
            <w:r w:rsidRPr="00BF5661">
              <w:rPr>
                <w:rFonts w:eastAsia="Times New Roman"/>
                <w:sz w:val="24"/>
                <w:szCs w:val="24"/>
              </w:rPr>
              <w:t>Science and Engineering Technology</w:t>
            </w:r>
          </w:p>
        </w:tc>
        <w:tc>
          <w:tcPr>
            <w:tcW w:w="542" w:type="pct"/>
            <w:tcBorders>
              <w:top w:val="nil"/>
              <w:left w:val="nil"/>
              <w:bottom w:val="single" w:color="auto" w:sz="4" w:space="0"/>
              <w:right w:val="nil"/>
            </w:tcBorders>
            <w:shd w:val="clear" w:color="auto" w:fill="auto"/>
            <w:noWrap/>
            <w:vAlign w:val="bottom"/>
            <w:hideMark/>
          </w:tcPr>
          <w:p w:rsidRPr="00BF5661" w:rsidR="004C422D" w:rsidP="004C422D" w:rsidRDefault="004C422D" w14:paraId="3CB04BC2" w14:textId="77777777">
            <w:pPr>
              <w:pStyle w:val="NoSpacing"/>
              <w:rPr>
                <w:rFonts w:eastAsia="Times New Roman"/>
                <w:sz w:val="24"/>
                <w:szCs w:val="24"/>
              </w:rPr>
            </w:pPr>
            <w:r w:rsidRPr="00BF5661">
              <w:rPr>
                <w:sz w:val="24"/>
                <w:szCs w:val="24"/>
              </w:rPr>
              <w:t>4.024</w:t>
            </w:r>
          </w:p>
        </w:tc>
        <w:tc>
          <w:tcPr>
            <w:tcW w:w="617" w:type="pct"/>
            <w:tcBorders>
              <w:top w:val="nil"/>
              <w:left w:val="nil"/>
              <w:bottom w:val="single" w:color="auto" w:sz="4" w:space="0"/>
              <w:right w:val="nil"/>
            </w:tcBorders>
            <w:shd w:val="clear" w:color="auto" w:fill="auto"/>
            <w:noWrap/>
            <w:vAlign w:val="bottom"/>
            <w:hideMark/>
          </w:tcPr>
          <w:p w:rsidRPr="00BF5661" w:rsidR="004C422D" w:rsidP="004C422D" w:rsidRDefault="004C422D" w14:paraId="52573056" w14:textId="77777777">
            <w:pPr>
              <w:pStyle w:val="NoSpacing"/>
              <w:rPr>
                <w:rFonts w:eastAsia="Times New Roman"/>
                <w:sz w:val="24"/>
                <w:szCs w:val="24"/>
              </w:rPr>
            </w:pPr>
            <w:r w:rsidRPr="00BF5661">
              <w:rPr>
                <w:sz w:val="24"/>
                <w:szCs w:val="24"/>
              </w:rPr>
              <w:t>0.80896</w:t>
            </w:r>
          </w:p>
        </w:tc>
        <w:tc>
          <w:tcPr>
            <w:tcW w:w="542" w:type="pct"/>
            <w:tcBorders>
              <w:top w:val="nil"/>
              <w:left w:val="nil"/>
              <w:bottom w:val="single" w:color="auto" w:sz="4" w:space="0"/>
              <w:right w:val="nil"/>
            </w:tcBorders>
            <w:shd w:val="clear" w:color="auto" w:fill="auto"/>
            <w:noWrap/>
            <w:vAlign w:val="bottom"/>
            <w:hideMark/>
          </w:tcPr>
          <w:p w:rsidRPr="00BF5661" w:rsidR="004C422D" w:rsidP="004C422D" w:rsidRDefault="004C422D" w14:paraId="75E62B6E" w14:textId="77777777">
            <w:pPr>
              <w:pStyle w:val="NoSpacing"/>
              <w:rPr>
                <w:rFonts w:eastAsia="Times New Roman"/>
                <w:sz w:val="24"/>
                <w:szCs w:val="24"/>
              </w:rPr>
            </w:pPr>
            <w:r w:rsidRPr="00BF5661">
              <w:rPr>
                <w:sz w:val="24"/>
                <w:szCs w:val="24"/>
              </w:rPr>
              <w:t>4.2464</w:t>
            </w:r>
          </w:p>
        </w:tc>
        <w:tc>
          <w:tcPr>
            <w:tcW w:w="617" w:type="pct"/>
            <w:tcBorders>
              <w:top w:val="nil"/>
              <w:left w:val="nil"/>
              <w:bottom w:val="single" w:color="auto" w:sz="4" w:space="0"/>
              <w:right w:val="nil"/>
            </w:tcBorders>
            <w:shd w:val="clear" w:color="auto" w:fill="auto"/>
            <w:noWrap/>
            <w:vAlign w:val="bottom"/>
            <w:hideMark/>
          </w:tcPr>
          <w:p w:rsidRPr="00BF5661" w:rsidR="004C422D" w:rsidP="004C422D" w:rsidRDefault="004C422D" w14:paraId="1A1D1326" w14:textId="77777777">
            <w:pPr>
              <w:pStyle w:val="NoSpacing"/>
              <w:rPr>
                <w:rFonts w:eastAsia="Times New Roman"/>
                <w:sz w:val="24"/>
                <w:szCs w:val="24"/>
              </w:rPr>
            </w:pPr>
            <w:r w:rsidRPr="00BF5661">
              <w:rPr>
                <w:sz w:val="24"/>
                <w:szCs w:val="24"/>
              </w:rPr>
              <w:t>0.68032</w:t>
            </w:r>
          </w:p>
        </w:tc>
        <w:tc>
          <w:tcPr>
            <w:tcW w:w="351" w:type="pct"/>
            <w:tcBorders>
              <w:top w:val="nil"/>
              <w:left w:val="nil"/>
              <w:bottom w:val="single" w:color="auto" w:sz="4" w:space="0"/>
              <w:right w:val="nil"/>
            </w:tcBorders>
            <w:vAlign w:val="bottom"/>
          </w:tcPr>
          <w:p w:rsidRPr="00BF5661" w:rsidR="004C422D" w:rsidP="004C422D" w:rsidRDefault="004C422D" w14:paraId="687459C4" w14:textId="77777777">
            <w:pPr>
              <w:pStyle w:val="NoSpacing"/>
              <w:rPr>
                <w:rFonts w:eastAsia="Times New Roman"/>
                <w:sz w:val="24"/>
                <w:szCs w:val="24"/>
              </w:rPr>
            </w:pPr>
            <w:r w:rsidRPr="00BF5661">
              <w:rPr>
                <w:sz w:val="24"/>
                <w:szCs w:val="24"/>
              </w:rPr>
              <w:t>240</w:t>
            </w:r>
          </w:p>
        </w:tc>
      </w:tr>
    </w:tbl>
    <w:p w:rsidR="00F92848" w:rsidP="00381741" w:rsidRDefault="00F92848" w14:paraId="1C829DA5" w14:textId="77777777">
      <w:pPr>
        <w:rPr>
          <w:i/>
          <w:iCs/>
          <w:sz w:val="24"/>
          <w:szCs w:val="24"/>
        </w:rPr>
      </w:pPr>
    </w:p>
    <w:p w:rsidRPr="00381741" w:rsidR="00381741" w:rsidP="00381741" w:rsidRDefault="00381741" w14:paraId="4275C657" w14:textId="0E078CFA">
      <w:pPr>
        <w:rPr>
          <w:sz w:val="24"/>
          <w:szCs w:val="24"/>
        </w:rPr>
      </w:pPr>
      <w:r w:rsidRPr="00381741">
        <w:rPr>
          <w:sz w:val="24"/>
          <w:szCs w:val="24"/>
        </w:rPr>
        <w:t xml:space="preserve">A multivariate analysis was conducted to examine the effects of treatment group (TIG), college affiliation, and their interaction on the dependent variables. The analysis revealed a statistically significant main effect for college affiliation, indicating that outcomes differed meaningfully across colleges, </w:t>
      </w:r>
      <w:proofErr w:type="gramStart"/>
      <w:r w:rsidRPr="00381741">
        <w:rPr>
          <w:sz w:val="24"/>
          <w:szCs w:val="24"/>
        </w:rPr>
        <w:t>F(</w:t>
      </w:r>
      <w:proofErr w:type="gramEnd"/>
      <w:r w:rsidRPr="00381741">
        <w:rPr>
          <w:sz w:val="24"/>
          <w:szCs w:val="24"/>
        </w:rPr>
        <w:t>12, 2894) = 18.463, p &lt; .001, with a moderate effect size (Partial Eta Squared = .071). This suggests that college-level differences accounted for a notable proportion of variance in the dependent variables.</w:t>
      </w:r>
    </w:p>
    <w:p w:rsidRPr="00381741" w:rsidR="00381741" w:rsidP="00381741" w:rsidRDefault="00381741" w14:paraId="27F7876A" w14:textId="4015C67E">
      <w:pPr>
        <w:rPr>
          <w:sz w:val="24"/>
          <w:szCs w:val="24"/>
        </w:rPr>
      </w:pPr>
      <w:r w:rsidRPr="00381741">
        <w:rPr>
          <w:sz w:val="24"/>
          <w:szCs w:val="24"/>
        </w:rPr>
        <w:t xml:space="preserve">In contrast, the main effect of treatment group (TIG) was not statistically significant, </w:t>
      </w:r>
      <w:proofErr w:type="gramStart"/>
      <w:r w:rsidRPr="00381741">
        <w:rPr>
          <w:sz w:val="24"/>
          <w:szCs w:val="24"/>
        </w:rPr>
        <w:t>F(</w:t>
      </w:r>
      <w:proofErr w:type="gramEnd"/>
      <w:r w:rsidRPr="00381741">
        <w:rPr>
          <w:sz w:val="24"/>
          <w:szCs w:val="24"/>
        </w:rPr>
        <w:t>2, 1446) = 1.927, p = .146, and showed a negligible effect size (Partial Eta Squared = .003), indicating that the treatment alone did not produce measurable differences in the outcomes.</w:t>
      </w:r>
    </w:p>
    <w:p w:rsidRPr="003C42E4" w:rsidR="000C216E" w:rsidP="00A02E24" w:rsidRDefault="00381741" w14:paraId="09EA1738" w14:textId="754081D1">
      <w:pPr>
        <w:rPr>
          <w:sz w:val="24"/>
          <w:szCs w:val="24"/>
        </w:rPr>
      </w:pPr>
      <w:r w:rsidRPr="00381741">
        <w:rPr>
          <w:sz w:val="24"/>
          <w:szCs w:val="24"/>
        </w:rPr>
        <w:t xml:space="preserve">The interaction between treatment group and college affiliation was also not statistically significant, </w:t>
      </w:r>
      <w:proofErr w:type="gramStart"/>
      <w:r w:rsidRPr="00381741">
        <w:rPr>
          <w:sz w:val="24"/>
          <w:szCs w:val="24"/>
        </w:rPr>
        <w:t>F(</w:t>
      </w:r>
      <w:proofErr w:type="gramEnd"/>
      <w:r w:rsidRPr="00381741">
        <w:rPr>
          <w:sz w:val="24"/>
          <w:szCs w:val="24"/>
        </w:rPr>
        <w:t>12, 2894) = 1.251, p = .241, with a small effect size (Partial Eta Squared = .005). Although Roy’s Largest Root for the interaction reached marginal significance (p = .047), this isolated result should be interpreted with caution, as it was not supported by the other multivariate tests.</w:t>
      </w:r>
    </w:p>
    <w:p w:rsidRPr="00F24FAC" w:rsidR="00E03C59" w:rsidP="00F92848" w:rsidRDefault="00E03C59" w14:paraId="22021AC7" w14:textId="77777777">
      <w:pPr>
        <w:pStyle w:val="Heading1"/>
      </w:pPr>
      <w:bookmarkStart w:name="_Toc200371350" w:id="10"/>
      <w:r w:rsidRPr="00F24FAC">
        <w:t>Conclusion</w:t>
      </w:r>
      <w:bookmarkEnd w:id="10"/>
    </w:p>
    <w:p w:rsidRPr="00F24FAC" w:rsidR="00E03C59" w:rsidP="00E03C59" w:rsidRDefault="00E03C59" w14:paraId="45CA07F4" w14:textId="77777777">
      <w:pPr>
        <w:spacing w:line="240" w:lineRule="auto"/>
        <w:rPr>
          <w:sz w:val="24"/>
          <w:szCs w:val="24"/>
        </w:rPr>
      </w:pPr>
      <w:r w:rsidRPr="00F24FAC">
        <w:rPr>
          <w:sz w:val="24"/>
          <w:szCs w:val="24"/>
        </w:rPr>
        <w:t>Across all three initiatives, faculty development programs appear to have a positive, though modest, impact on student outcomes. ACUE and EE programs were associated with lower DFQ rates and higher instructor ratings, with statistically significant main effects. The TIG program showed descriptive improvements but did not yield statistically significant multivariate effects.</w:t>
      </w:r>
    </w:p>
    <w:p w:rsidRPr="00F92848" w:rsidR="00E03C59" w:rsidP="00E03C59" w:rsidRDefault="00E03C59" w14:paraId="729FF64D" w14:textId="77777777">
      <w:pPr>
        <w:spacing w:line="240" w:lineRule="auto"/>
        <w:rPr>
          <w:sz w:val="24"/>
          <w:szCs w:val="24"/>
        </w:rPr>
      </w:pPr>
      <w:r w:rsidRPr="00F24FAC">
        <w:rPr>
          <w:sz w:val="24"/>
          <w:szCs w:val="24"/>
        </w:rPr>
        <w:t>These results suggest that targeted faculty development—particularly comprehensive, pedagogically grounded programs like ACUE and EE—can enhance student perceptions and reduce disengagement. College-level differences consistently played a strong role, emphasizing the need for tailored strategies across disciplines.</w:t>
      </w:r>
    </w:p>
    <w:p w:rsidRPr="003C42E4" w:rsidR="000A08F6" w:rsidRDefault="000A08F6" w14:paraId="3AD4029C" w14:textId="77777777">
      <w:pPr>
        <w:rPr>
          <w:sz w:val="24"/>
          <w:szCs w:val="24"/>
        </w:rPr>
      </w:pPr>
    </w:p>
    <w:sectPr w:rsidRPr="003C42E4" w:rsidR="000A08F6">
      <w:head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429E" w:rsidP="006F5F02" w:rsidRDefault="00F8429E" w14:paraId="6280271D" w14:textId="77777777">
      <w:pPr>
        <w:spacing w:before="0" w:after="0" w:line="240" w:lineRule="auto"/>
      </w:pPr>
      <w:r>
        <w:separator/>
      </w:r>
    </w:p>
  </w:endnote>
  <w:endnote w:type="continuationSeparator" w:id="0">
    <w:p w:rsidR="00F8429E" w:rsidP="006F5F02" w:rsidRDefault="00F8429E" w14:paraId="0CB100B6" w14:textId="77777777">
      <w:pPr>
        <w:spacing w:before="0" w:after="0" w:line="240" w:lineRule="auto"/>
      </w:pPr>
      <w:r>
        <w:continuationSeparator/>
      </w:r>
    </w:p>
  </w:endnote>
  <w:endnote w:type="continuationNotice" w:id="1">
    <w:p w:rsidR="00F8429E" w:rsidRDefault="00F8429E" w14:paraId="0BC8EBB2"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429E" w:rsidP="006F5F02" w:rsidRDefault="00F8429E" w14:paraId="789A1609" w14:textId="77777777">
      <w:pPr>
        <w:spacing w:before="0" w:after="0" w:line="240" w:lineRule="auto"/>
      </w:pPr>
      <w:r>
        <w:separator/>
      </w:r>
    </w:p>
  </w:footnote>
  <w:footnote w:type="continuationSeparator" w:id="0">
    <w:p w:rsidR="00F8429E" w:rsidP="006F5F02" w:rsidRDefault="00F8429E" w14:paraId="69EA9AFC" w14:textId="77777777">
      <w:pPr>
        <w:spacing w:before="0" w:after="0" w:line="240" w:lineRule="auto"/>
      </w:pPr>
      <w:r>
        <w:continuationSeparator/>
      </w:r>
    </w:p>
  </w:footnote>
  <w:footnote w:type="continuationNotice" w:id="1">
    <w:p w:rsidR="00F8429E" w:rsidRDefault="00F8429E" w14:paraId="477D036A"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F02" w:rsidRDefault="006F5F02" w14:paraId="46419FAC" w14:textId="1AA02CC7">
    <w:pPr>
      <w:pStyle w:val="Header"/>
      <w:jc w:val="right"/>
    </w:pPr>
    <w:r>
      <w:t xml:space="preserve"> TLC Data Report 2023-2024</w:t>
    </w:r>
    <w:r>
      <w:tab/>
    </w:r>
    <w:r>
      <w:tab/>
    </w:r>
    <w:sdt>
      <w:sdtPr>
        <w:id w:val="202659407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6F5F02" w:rsidRDefault="006F5F02" w14:paraId="51B90C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4057"/>
    <w:multiLevelType w:val="multilevel"/>
    <w:tmpl w:val="1A9E955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0DB59CF"/>
    <w:multiLevelType w:val="multilevel"/>
    <w:tmpl w:val="4E90632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25E5E77"/>
    <w:multiLevelType w:val="multilevel"/>
    <w:tmpl w:val="9AD672D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967931606">
    <w:abstractNumId w:val="0"/>
  </w:num>
  <w:num w:numId="2" w16cid:durableId="1130784410">
    <w:abstractNumId w:val="1"/>
  </w:num>
  <w:num w:numId="3" w16cid:durableId="1054086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AB"/>
    <w:rsid w:val="00054010"/>
    <w:rsid w:val="00062E20"/>
    <w:rsid w:val="00067E87"/>
    <w:rsid w:val="0007333F"/>
    <w:rsid w:val="00077EF6"/>
    <w:rsid w:val="00096F4B"/>
    <w:rsid w:val="000A08F6"/>
    <w:rsid w:val="000A7607"/>
    <w:rsid w:val="000C216E"/>
    <w:rsid w:val="001900CF"/>
    <w:rsid w:val="001A2FAE"/>
    <w:rsid w:val="001B75F6"/>
    <w:rsid w:val="001C5EBA"/>
    <w:rsid w:val="001D7BE4"/>
    <w:rsid w:val="001E3ECD"/>
    <w:rsid w:val="001E6E6D"/>
    <w:rsid w:val="00246ADB"/>
    <w:rsid w:val="00274209"/>
    <w:rsid w:val="0028343A"/>
    <w:rsid w:val="002D2F60"/>
    <w:rsid w:val="002D6AD0"/>
    <w:rsid w:val="00302353"/>
    <w:rsid w:val="003078F3"/>
    <w:rsid w:val="00314E34"/>
    <w:rsid w:val="00355E17"/>
    <w:rsid w:val="003611AB"/>
    <w:rsid w:val="00381741"/>
    <w:rsid w:val="003818BD"/>
    <w:rsid w:val="00394CD7"/>
    <w:rsid w:val="003A3712"/>
    <w:rsid w:val="003C42E4"/>
    <w:rsid w:val="003F7A51"/>
    <w:rsid w:val="00406547"/>
    <w:rsid w:val="00430AE1"/>
    <w:rsid w:val="00485E34"/>
    <w:rsid w:val="004C422D"/>
    <w:rsid w:val="00531D47"/>
    <w:rsid w:val="00546FF9"/>
    <w:rsid w:val="00547DA4"/>
    <w:rsid w:val="005D58C9"/>
    <w:rsid w:val="00630DB5"/>
    <w:rsid w:val="006322B8"/>
    <w:rsid w:val="00637E9B"/>
    <w:rsid w:val="00641695"/>
    <w:rsid w:val="00677E53"/>
    <w:rsid w:val="006F5F02"/>
    <w:rsid w:val="007811BC"/>
    <w:rsid w:val="007D7FB2"/>
    <w:rsid w:val="00810533"/>
    <w:rsid w:val="008202CA"/>
    <w:rsid w:val="008410CB"/>
    <w:rsid w:val="00882A44"/>
    <w:rsid w:val="00882CDA"/>
    <w:rsid w:val="008B2B47"/>
    <w:rsid w:val="008B79F9"/>
    <w:rsid w:val="008C5F8B"/>
    <w:rsid w:val="008C6EB0"/>
    <w:rsid w:val="009708DB"/>
    <w:rsid w:val="00973404"/>
    <w:rsid w:val="00996CF7"/>
    <w:rsid w:val="00997D30"/>
    <w:rsid w:val="009D6B1E"/>
    <w:rsid w:val="009F52B1"/>
    <w:rsid w:val="00A00D0F"/>
    <w:rsid w:val="00A02E24"/>
    <w:rsid w:val="00A3431F"/>
    <w:rsid w:val="00A70639"/>
    <w:rsid w:val="00A7250A"/>
    <w:rsid w:val="00A75B31"/>
    <w:rsid w:val="00A93788"/>
    <w:rsid w:val="00AC69DB"/>
    <w:rsid w:val="00AD06D2"/>
    <w:rsid w:val="00AE722C"/>
    <w:rsid w:val="00AF7B28"/>
    <w:rsid w:val="00B0407C"/>
    <w:rsid w:val="00B27EFB"/>
    <w:rsid w:val="00B63487"/>
    <w:rsid w:val="00B93F88"/>
    <w:rsid w:val="00BC5222"/>
    <w:rsid w:val="00BF0345"/>
    <w:rsid w:val="00BF5661"/>
    <w:rsid w:val="00BF6887"/>
    <w:rsid w:val="00C5106D"/>
    <w:rsid w:val="00C56C0E"/>
    <w:rsid w:val="00CD4EBC"/>
    <w:rsid w:val="00D0408E"/>
    <w:rsid w:val="00D43B0E"/>
    <w:rsid w:val="00D86FE1"/>
    <w:rsid w:val="00DB4787"/>
    <w:rsid w:val="00DC04C3"/>
    <w:rsid w:val="00DC61E5"/>
    <w:rsid w:val="00DD281F"/>
    <w:rsid w:val="00DE2298"/>
    <w:rsid w:val="00DF7042"/>
    <w:rsid w:val="00E03C59"/>
    <w:rsid w:val="00E2790E"/>
    <w:rsid w:val="00ED1628"/>
    <w:rsid w:val="00EE40BE"/>
    <w:rsid w:val="00EF3871"/>
    <w:rsid w:val="00F5762D"/>
    <w:rsid w:val="00F75785"/>
    <w:rsid w:val="00F8429E"/>
    <w:rsid w:val="00F92848"/>
    <w:rsid w:val="00F96806"/>
    <w:rsid w:val="00FD533B"/>
    <w:rsid w:val="00FF3E21"/>
    <w:rsid w:val="00FF3E24"/>
    <w:rsid w:val="19D9FEF0"/>
    <w:rsid w:val="49CB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1884B"/>
  <w15:chartTrackingRefBased/>
  <w15:docId w15:val="{7EFEF8A3-7685-48C6-839D-F943C435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42E4"/>
  </w:style>
  <w:style w:type="paragraph" w:styleId="Heading1">
    <w:name w:val="heading 1"/>
    <w:basedOn w:val="Normal"/>
    <w:next w:val="Normal"/>
    <w:link w:val="Heading1Char"/>
    <w:uiPriority w:val="9"/>
    <w:qFormat/>
    <w:rsid w:val="003C42E4"/>
    <w:pPr>
      <w:pBdr>
        <w:top w:val="single" w:color="156082" w:themeColor="accent1" w:sz="24" w:space="0"/>
        <w:left w:val="single" w:color="156082" w:themeColor="accent1" w:sz="24" w:space="0"/>
        <w:bottom w:val="single" w:color="156082" w:themeColor="accent1" w:sz="24" w:space="0"/>
        <w:right w:val="single" w:color="156082" w:themeColor="accent1" w:sz="24" w:space="0"/>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C42E4"/>
    <w:pPr>
      <w:pBdr>
        <w:top w:val="single" w:color="C1E4F5" w:themeColor="accent1" w:themeTint="33" w:sz="24" w:space="0"/>
        <w:left w:val="single" w:color="C1E4F5" w:themeColor="accent1" w:themeTint="33" w:sz="24" w:space="0"/>
        <w:bottom w:val="single" w:color="C1E4F5" w:themeColor="accent1" w:themeTint="33" w:sz="24" w:space="0"/>
        <w:right w:val="single" w:color="C1E4F5" w:themeColor="accent1" w:themeTint="33" w:sz="24" w:space="0"/>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3C42E4"/>
    <w:pPr>
      <w:pBdr>
        <w:top w:val="single" w:color="156082" w:themeColor="accent1" w:sz="6" w:space="2"/>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3C42E4"/>
    <w:pPr>
      <w:pBdr>
        <w:top w:val="dotted" w:color="156082" w:themeColor="accent1" w:sz="6" w:space="2"/>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3C42E4"/>
    <w:pPr>
      <w:pBdr>
        <w:bottom w:val="single" w:color="156082" w:themeColor="accent1" w:sz="6" w:space="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3C42E4"/>
    <w:pPr>
      <w:pBdr>
        <w:bottom w:val="dotted" w:color="156082" w:themeColor="accent1" w:sz="6" w:space="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3C42E4"/>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3C42E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C42E4"/>
    <w:pPr>
      <w:spacing w:before="200" w:after="0"/>
      <w:outlineLvl w:val="8"/>
    </w:pPr>
    <w:rPr>
      <w:i/>
      <w:iCs/>
      <w:caps/>
      <w:spacing w:val="10"/>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C42E4"/>
    <w:rPr>
      <w:caps/>
      <w:color w:val="FFFFFF" w:themeColor="background1"/>
      <w:spacing w:val="15"/>
      <w:sz w:val="22"/>
      <w:szCs w:val="22"/>
      <w:shd w:val="clear" w:color="auto" w:fill="156082" w:themeFill="accent1"/>
    </w:rPr>
  </w:style>
  <w:style w:type="character" w:styleId="Heading2Char" w:customStyle="1">
    <w:name w:val="Heading 2 Char"/>
    <w:basedOn w:val="DefaultParagraphFont"/>
    <w:link w:val="Heading2"/>
    <w:uiPriority w:val="9"/>
    <w:rsid w:val="003C42E4"/>
    <w:rPr>
      <w:caps/>
      <w:spacing w:val="15"/>
      <w:shd w:val="clear" w:color="auto" w:fill="C1E4F5" w:themeFill="accent1" w:themeFillTint="33"/>
    </w:rPr>
  </w:style>
  <w:style w:type="character" w:styleId="Heading3Char" w:customStyle="1">
    <w:name w:val="Heading 3 Char"/>
    <w:basedOn w:val="DefaultParagraphFont"/>
    <w:link w:val="Heading3"/>
    <w:uiPriority w:val="9"/>
    <w:semiHidden/>
    <w:rsid w:val="003C42E4"/>
    <w:rPr>
      <w:caps/>
      <w:color w:val="0A2F40" w:themeColor="accent1" w:themeShade="7F"/>
      <w:spacing w:val="15"/>
    </w:rPr>
  </w:style>
  <w:style w:type="character" w:styleId="Heading4Char" w:customStyle="1">
    <w:name w:val="Heading 4 Char"/>
    <w:basedOn w:val="DefaultParagraphFont"/>
    <w:link w:val="Heading4"/>
    <w:uiPriority w:val="9"/>
    <w:semiHidden/>
    <w:rsid w:val="003C42E4"/>
    <w:rPr>
      <w:caps/>
      <w:color w:val="0F4761" w:themeColor="accent1" w:themeShade="BF"/>
      <w:spacing w:val="10"/>
    </w:rPr>
  </w:style>
  <w:style w:type="character" w:styleId="Heading5Char" w:customStyle="1">
    <w:name w:val="Heading 5 Char"/>
    <w:basedOn w:val="DefaultParagraphFont"/>
    <w:link w:val="Heading5"/>
    <w:uiPriority w:val="9"/>
    <w:semiHidden/>
    <w:rsid w:val="003C42E4"/>
    <w:rPr>
      <w:caps/>
      <w:color w:val="0F4761" w:themeColor="accent1" w:themeShade="BF"/>
      <w:spacing w:val="10"/>
    </w:rPr>
  </w:style>
  <w:style w:type="character" w:styleId="Heading6Char" w:customStyle="1">
    <w:name w:val="Heading 6 Char"/>
    <w:basedOn w:val="DefaultParagraphFont"/>
    <w:link w:val="Heading6"/>
    <w:uiPriority w:val="9"/>
    <w:semiHidden/>
    <w:rsid w:val="003C42E4"/>
    <w:rPr>
      <w:caps/>
      <w:color w:val="0F4761" w:themeColor="accent1" w:themeShade="BF"/>
      <w:spacing w:val="10"/>
    </w:rPr>
  </w:style>
  <w:style w:type="character" w:styleId="Heading7Char" w:customStyle="1">
    <w:name w:val="Heading 7 Char"/>
    <w:basedOn w:val="DefaultParagraphFont"/>
    <w:link w:val="Heading7"/>
    <w:uiPriority w:val="9"/>
    <w:semiHidden/>
    <w:rsid w:val="003C42E4"/>
    <w:rPr>
      <w:caps/>
      <w:color w:val="0F4761" w:themeColor="accent1" w:themeShade="BF"/>
      <w:spacing w:val="10"/>
    </w:rPr>
  </w:style>
  <w:style w:type="character" w:styleId="Heading8Char" w:customStyle="1">
    <w:name w:val="Heading 8 Char"/>
    <w:basedOn w:val="DefaultParagraphFont"/>
    <w:link w:val="Heading8"/>
    <w:uiPriority w:val="9"/>
    <w:semiHidden/>
    <w:rsid w:val="003C42E4"/>
    <w:rPr>
      <w:caps/>
      <w:spacing w:val="10"/>
      <w:sz w:val="18"/>
      <w:szCs w:val="18"/>
    </w:rPr>
  </w:style>
  <w:style w:type="character" w:styleId="Heading9Char" w:customStyle="1">
    <w:name w:val="Heading 9 Char"/>
    <w:basedOn w:val="DefaultParagraphFont"/>
    <w:link w:val="Heading9"/>
    <w:uiPriority w:val="9"/>
    <w:semiHidden/>
    <w:rsid w:val="003C42E4"/>
    <w:rPr>
      <w:i/>
      <w:iCs/>
      <w:caps/>
      <w:spacing w:val="10"/>
      <w:sz w:val="18"/>
      <w:szCs w:val="18"/>
    </w:rPr>
  </w:style>
  <w:style w:type="paragraph" w:styleId="Title">
    <w:name w:val="Title"/>
    <w:basedOn w:val="Normal"/>
    <w:next w:val="Normal"/>
    <w:link w:val="TitleChar"/>
    <w:uiPriority w:val="10"/>
    <w:qFormat/>
    <w:rsid w:val="003C42E4"/>
    <w:pPr>
      <w:spacing w:before="0" w:after="0"/>
    </w:pPr>
    <w:rPr>
      <w:rFonts w:asciiTheme="majorHAnsi" w:hAnsiTheme="majorHAnsi" w:eastAsiaTheme="majorEastAsia" w:cstheme="majorBidi"/>
      <w:caps/>
      <w:color w:val="156082" w:themeColor="accent1"/>
      <w:spacing w:val="10"/>
      <w:sz w:val="52"/>
      <w:szCs w:val="52"/>
    </w:rPr>
  </w:style>
  <w:style w:type="character" w:styleId="TitleChar" w:customStyle="1">
    <w:name w:val="Title Char"/>
    <w:basedOn w:val="DefaultParagraphFont"/>
    <w:link w:val="Title"/>
    <w:uiPriority w:val="10"/>
    <w:rsid w:val="003C42E4"/>
    <w:rPr>
      <w:rFonts w:asciiTheme="majorHAnsi" w:hAnsiTheme="majorHAnsi" w:eastAsiaTheme="majorEastAsia" w:cstheme="majorBidi"/>
      <w:caps/>
      <w:color w:val="156082" w:themeColor="accent1"/>
      <w:spacing w:val="10"/>
      <w:sz w:val="52"/>
      <w:szCs w:val="52"/>
    </w:rPr>
  </w:style>
  <w:style w:type="paragraph" w:styleId="Subtitle">
    <w:name w:val="Subtitle"/>
    <w:basedOn w:val="Normal"/>
    <w:next w:val="Normal"/>
    <w:link w:val="SubtitleChar"/>
    <w:uiPriority w:val="11"/>
    <w:qFormat/>
    <w:rsid w:val="003C42E4"/>
    <w:pPr>
      <w:spacing w:before="0" w:after="500" w:line="240" w:lineRule="auto"/>
    </w:pPr>
    <w:rPr>
      <w:caps/>
      <w:color w:val="595959" w:themeColor="text1" w:themeTint="A6"/>
      <w:spacing w:val="10"/>
      <w:sz w:val="21"/>
      <w:szCs w:val="21"/>
    </w:rPr>
  </w:style>
  <w:style w:type="character" w:styleId="SubtitleChar" w:customStyle="1">
    <w:name w:val="Subtitle Char"/>
    <w:basedOn w:val="DefaultParagraphFont"/>
    <w:link w:val="Subtitle"/>
    <w:uiPriority w:val="11"/>
    <w:rsid w:val="003C42E4"/>
    <w:rPr>
      <w:caps/>
      <w:color w:val="595959" w:themeColor="text1" w:themeTint="A6"/>
      <w:spacing w:val="10"/>
      <w:sz w:val="21"/>
      <w:szCs w:val="21"/>
    </w:rPr>
  </w:style>
  <w:style w:type="paragraph" w:styleId="Quote">
    <w:name w:val="Quote"/>
    <w:basedOn w:val="Normal"/>
    <w:next w:val="Normal"/>
    <w:link w:val="QuoteChar"/>
    <w:uiPriority w:val="29"/>
    <w:qFormat/>
    <w:rsid w:val="003C42E4"/>
    <w:rPr>
      <w:i/>
      <w:iCs/>
      <w:sz w:val="24"/>
      <w:szCs w:val="24"/>
    </w:rPr>
  </w:style>
  <w:style w:type="character" w:styleId="QuoteChar" w:customStyle="1">
    <w:name w:val="Quote Char"/>
    <w:basedOn w:val="DefaultParagraphFont"/>
    <w:link w:val="Quote"/>
    <w:uiPriority w:val="29"/>
    <w:rsid w:val="003C42E4"/>
    <w:rPr>
      <w:i/>
      <w:iCs/>
      <w:sz w:val="24"/>
      <w:szCs w:val="24"/>
    </w:rPr>
  </w:style>
  <w:style w:type="paragraph" w:styleId="ListParagraph">
    <w:name w:val="List Paragraph"/>
    <w:basedOn w:val="Normal"/>
    <w:uiPriority w:val="34"/>
    <w:qFormat/>
    <w:rsid w:val="003611AB"/>
    <w:pPr>
      <w:ind w:left="720"/>
      <w:contextualSpacing/>
    </w:pPr>
  </w:style>
  <w:style w:type="character" w:styleId="IntenseEmphasis">
    <w:name w:val="Intense Emphasis"/>
    <w:uiPriority w:val="21"/>
    <w:qFormat/>
    <w:rsid w:val="003C42E4"/>
    <w:rPr>
      <w:b/>
      <w:bCs/>
      <w:caps/>
      <w:color w:val="0A2F40" w:themeColor="accent1" w:themeShade="7F"/>
      <w:spacing w:val="10"/>
    </w:rPr>
  </w:style>
  <w:style w:type="paragraph" w:styleId="IntenseQuote">
    <w:name w:val="Intense Quote"/>
    <w:basedOn w:val="Normal"/>
    <w:next w:val="Normal"/>
    <w:link w:val="IntenseQuoteChar"/>
    <w:uiPriority w:val="30"/>
    <w:qFormat/>
    <w:rsid w:val="003C42E4"/>
    <w:pPr>
      <w:spacing w:before="240" w:after="240" w:line="240" w:lineRule="auto"/>
      <w:ind w:left="1080" w:right="1080"/>
      <w:jc w:val="center"/>
    </w:pPr>
    <w:rPr>
      <w:color w:val="156082" w:themeColor="accent1"/>
      <w:sz w:val="24"/>
      <w:szCs w:val="24"/>
    </w:rPr>
  </w:style>
  <w:style w:type="character" w:styleId="IntenseQuoteChar" w:customStyle="1">
    <w:name w:val="Intense Quote Char"/>
    <w:basedOn w:val="DefaultParagraphFont"/>
    <w:link w:val="IntenseQuote"/>
    <w:uiPriority w:val="30"/>
    <w:rsid w:val="003C42E4"/>
    <w:rPr>
      <w:color w:val="156082" w:themeColor="accent1"/>
      <w:sz w:val="24"/>
      <w:szCs w:val="24"/>
    </w:rPr>
  </w:style>
  <w:style w:type="character" w:styleId="IntenseReference">
    <w:name w:val="Intense Reference"/>
    <w:uiPriority w:val="32"/>
    <w:qFormat/>
    <w:rsid w:val="003C42E4"/>
    <w:rPr>
      <w:b/>
      <w:bCs/>
      <w:i/>
      <w:iCs/>
      <w:caps/>
      <w:color w:val="156082" w:themeColor="accent1"/>
    </w:rPr>
  </w:style>
  <w:style w:type="table" w:styleId="TableGrid">
    <w:name w:val="Table Grid"/>
    <w:basedOn w:val="TableNormal"/>
    <w:uiPriority w:val="39"/>
    <w:rsid w:val="003611A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3C42E4"/>
    <w:pPr>
      <w:spacing w:after="0" w:line="240" w:lineRule="auto"/>
    </w:pPr>
  </w:style>
  <w:style w:type="table" w:styleId="GridTable5Dark-Accent2">
    <w:name w:val="Grid Table 5 Dark Accent 2"/>
    <w:basedOn w:val="TableNormal"/>
    <w:uiPriority w:val="50"/>
    <w:rsid w:val="009D6B1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AE2D5"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9713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9713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9713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ListTable7Colorful-Accent2">
    <w:name w:val="List Table 7 Colorful Accent 2"/>
    <w:basedOn w:val="TableNormal"/>
    <w:uiPriority w:val="52"/>
    <w:rsid w:val="009D6B1E"/>
    <w:pPr>
      <w:spacing w:after="0" w:line="240" w:lineRule="auto"/>
    </w:pPr>
    <w:rPr>
      <w:color w:val="BF4E1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97132"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9713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97132"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97132" w:themeColor="accent2" w:sz="4" w:space="0"/>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4">
    <w:name w:val="List Table 4 Accent 4"/>
    <w:basedOn w:val="TableNormal"/>
    <w:uiPriority w:val="49"/>
    <w:rsid w:val="009D6B1E"/>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tblBorders>
    </w:tblPr>
    <w:tblStylePr w:type="firstRow">
      <w:rPr>
        <w:b/>
        <w:bCs/>
        <w:color w:val="FFFFFF" w:themeColor="background1"/>
      </w:rPr>
      <w:tbl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tcBorders>
        <w:shd w:val="clear" w:color="auto" w:fill="0F9ED5" w:themeFill="accent4"/>
      </w:tcPr>
    </w:tblStylePr>
    <w:tblStylePr w:type="lastRow">
      <w:rPr>
        <w:b/>
        <w:bCs/>
      </w:rPr>
      <w:tblPr/>
      <w:tcPr>
        <w:tcBorders>
          <w:top w:val="doub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Header">
    <w:name w:val="header"/>
    <w:basedOn w:val="Normal"/>
    <w:link w:val="HeaderChar"/>
    <w:uiPriority w:val="99"/>
    <w:unhideWhenUsed/>
    <w:rsid w:val="006F5F02"/>
    <w:pPr>
      <w:tabs>
        <w:tab w:val="center" w:pos="4680"/>
        <w:tab w:val="right" w:pos="9360"/>
      </w:tabs>
      <w:spacing w:after="0" w:line="240" w:lineRule="auto"/>
    </w:pPr>
  </w:style>
  <w:style w:type="character" w:styleId="HeaderChar" w:customStyle="1">
    <w:name w:val="Header Char"/>
    <w:basedOn w:val="DefaultParagraphFont"/>
    <w:link w:val="Header"/>
    <w:uiPriority w:val="99"/>
    <w:rsid w:val="006F5F02"/>
  </w:style>
  <w:style w:type="paragraph" w:styleId="Footer">
    <w:name w:val="footer"/>
    <w:basedOn w:val="Normal"/>
    <w:link w:val="FooterChar"/>
    <w:uiPriority w:val="99"/>
    <w:unhideWhenUsed/>
    <w:rsid w:val="006F5F02"/>
    <w:pPr>
      <w:tabs>
        <w:tab w:val="center" w:pos="4680"/>
        <w:tab w:val="right" w:pos="9360"/>
      </w:tabs>
      <w:spacing w:after="0" w:line="240" w:lineRule="auto"/>
    </w:pPr>
  </w:style>
  <w:style w:type="character" w:styleId="FooterChar" w:customStyle="1">
    <w:name w:val="Footer Char"/>
    <w:basedOn w:val="DefaultParagraphFont"/>
    <w:link w:val="Footer"/>
    <w:uiPriority w:val="99"/>
    <w:rsid w:val="006F5F02"/>
  </w:style>
  <w:style w:type="paragraph" w:styleId="Caption">
    <w:name w:val="caption"/>
    <w:basedOn w:val="Normal"/>
    <w:next w:val="Normal"/>
    <w:uiPriority w:val="35"/>
    <w:semiHidden/>
    <w:unhideWhenUsed/>
    <w:qFormat/>
    <w:rsid w:val="003C42E4"/>
    <w:rPr>
      <w:b/>
      <w:bCs/>
      <w:color w:val="0F4761" w:themeColor="accent1" w:themeShade="BF"/>
      <w:sz w:val="16"/>
      <w:szCs w:val="16"/>
    </w:rPr>
  </w:style>
  <w:style w:type="character" w:styleId="Strong">
    <w:name w:val="Strong"/>
    <w:uiPriority w:val="22"/>
    <w:qFormat/>
    <w:rsid w:val="003C42E4"/>
    <w:rPr>
      <w:b/>
      <w:bCs/>
    </w:rPr>
  </w:style>
  <w:style w:type="character" w:styleId="Emphasis">
    <w:name w:val="Emphasis"/>
    <w:uiPriority w:val="20"/>
    <w:qFormat/>
    <w:rsid w:val="003C42E4"/>
    <w:rPr>
      <w:caps/>
      <w:color w:val="0A2F40" w:themeColor="accent1" w:themeShade="7F"/>
      <w:spacing w:val="5"/>
    </w:rPr>
  </w:style>
  <w:style w:type="character" w:styleId="SubtleEmphasis">
    <w:name w:val="Subtle Emphasis"/>
    <w:uiPriority w:val="19"/>
    <w:qFormat/>
    <w:rsid w:val="003C42E4"/>
    <w:rPr>
      <w:i/>
      <w:iCs/>
      <w:color w:val="0A2F40" w:themeColor="accent1" w:themeShade="7F"/>
    </w:rPr>
  </w:style>
  <w:style w:type="character" w:styleId="SubtleReference">
    <w:name w:val="Subtle Reference"/>
    <w:uiPriority w:val="31"/>
    <w:qFormat/>
    <w:rsid w:val="003C42E4"/>
    <w:rPr>
      <w:b/>
      <w:bCs/>
      <w:color w:val="156082" w:themeColor="accent1"/>
    </w:rPr>
  </w:style>
  <w:style w:type="character" w:styleId="BookTitle">
    <w:name w:val="Book Title"/>
    <w:uiPriority w:val="33"/>
    <w:qFormat/>
    <w:rsid w:val="003C42E4"/>
    <w:rPr>
      <w:b/>
      <w:bCs/>
      <w:i/>
      <w:iCs/>
      <w:spacing w:val="0"/>
    </w:rPr>
  </w:style>
  <w:style w:type="paragraph" w:styleId="TOCHeading">
    <w:name w:val="TOC Heading"/>
    <w:basedOn w:val="Heading1"/>
    <w:next w:val="Normal"/>
    <w:uiPriority w:val="39"/>
    <w:unhideWhenUsed/>
    <w:qFormat/>
    <w:rsid w:val="003C42E4"/>
    <w:pPr>
      <w:outlineLvl w:val="9"/>
    </w:pPr>
  </w:style>
  <w:style w:type="table" w:styleId="GridTable4">
    <w:name w:val="Grid Table 4"/>
    <w:basedOn w:val="TableNormal"/>
    <w:uiPriority w:val="49"/>
    <w:rsid w:val="003C42E4"/>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3C42E4"/>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color w:val="FFFFFF" w:themeColor="background1"/>
      </w:rPr>
      <w:tbl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insideV w:val="nil"/>
        </w:tcBorders>
        <w:shd w:val="clear" w:color="auto" w:fill="E97132" w:themeFill="accent2"/>
      </w:tcPr>
    </w:tblStylePr>
    <w:tblStylePr w:type="lastRow">
      <w:rPr>
        <w:b/>
        <w:bCs/>
      </w:rPr>
      <w:tblPr/>
      <w:tcPr>
        <w:tcBorders>
          <w:top w:val="double" w:color="E97132" w:themeColor="accent2"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TOC1">
    <w:name w:val="toc 1"/>
    <w:basedOn w:val="Normal"/>
    <w:next w:val="Normal"/>
    <w:autoRedefine/>
    <w:uiPriority w:val="39"/>
    <w:unhideWhenUsed/>
    <w:rsid w:val="00E03C59"/>
    <w:pPr>
      <w:spacing w:after="100"/>
    </w:pPr>
  </w:style>
  <w:style w:type="paragraph" w:styleId="TOC2">
    <w:name w:val="toc 2"/>
    <w:basedOn w:val="Normal"/>
    <w:next w:val="Normal"/>
    <w:autoRedefine/>
    <w:uiPriority w:val="39"/>
    <w:unhideWhenUsed/>
    <w:rsid w:val="00E03C59"/>
    <w:pPr>
      <w:spacing w:after="100"/>
      <w:ind w:left="200"/>
    </w:pPr>
  </w:style>
  <w:style w:type="character" w:styleId="Hyperlink">
    <w:name w:val="Hyperlink"/>
    <w:basedOn w:val="DefaultParagraphFont"/>
    <w:uiPriority w:val="99"/>
    <w:unhideWhenUsed/>
    <w:rsid w:val="00E03C5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3259">
      <w:bodyDiv w:val="1"/>
      <w:marLeft w:val="0"/>
      <w:marRight w:val="0"/>
      <w:marTop w:val="0"/>
      <w:marBottom w:val="0"/>
      <w:divBdr>
        <w:top w:val="none" w:sz="0" w:space="0" w:color="auto"/>
        <w:left w:val="none" w:sz="0" w:space="0" w:color="auto"/>
        <w:bottom w:val="none" w:sz="0" w:space="0" w:color="auto"/>
        <w:right w:val="none" w:sz="0" w:space="0" w:color="auto"/>
      </w:divBdr>
    </w:div>
    <w:div w:id="76365671">
      <w:bodyDiv w:val="1"/>
      <w:marLeft w:val="0"/>
      <w:marRight w:val="0"/>
      <w:marTop w:val="0"/>
      <w:marBottom w:val="0"/>
      <w:divBdr>
        <w:top w:val="none" w:sz="0" w:space="0" w:color="auto"/>
        <w:left w:val="none" w:sz="0" w:space="0" w:color="auto"/>
        <w:bottom w:val="none" w:sz="0" w:space="0" w:color="auto"/>
        <w:right w:val="none" w:sz="0" w:space="0" w:color="auto"/>
      </w:divBdr>
      <w:divsChild>
        <w:div w:id="298733914">
          <w:marLeft w:val="0"/>
          <w:marRight w:val="0"/>
          <w:marTop w:val="0"/>
          <w:marBottom w:val="0"/>
          <w:divBdr>
            <w:top w:val="none" w:sz="0" w:space="0" w:color="auto"/>
            <w:left w:val="none" w:sz="0" w:space="0" w:color="auto"/>
            <w:bottom w:val="none" w:sz="0" w:space="0" w:color="auto"/>
            <w:right w:val="none" w:sz="0" w:space="0" w:color="auto"/>
          </w:divBdr>
          <w:divsChild>
            <w:div w:id="693386144">
              <w:marLeft w:val="0"/>
              <w:marRight w:val="0"/>
              <w:marTop w:val="0"/>
              <w:marBottom w:val="0"/>
              <w:divBdr>
                <w:top w:val="none" w:sz="0" w:space="0" w:color="auto"/>
                <w:left w:val="none" w:sz="0" w:space="0" w:color="auto"/>
                <w:bottom w:val="none" w:sz="0" w:space="0" w:color="auto"/>
                <w:right w:val="none" w:sz="0" w:space="0" w:color="auto"/>
              </w:divBdr>
            </w:div>
          </w:divsChild>
        </w:div>
        <w:div w:id="196309924">
          <w:marLeft w:val="0"/>
          <w:marRight w:val="0"/>
          <w:marTop w:val="0"/>
          <w:marBottom w:val="0"/>
          <w:divBdr>
            <w:top w:val="none" w:sz="0" w:space="0" w:color="auto"/>
            <w:left w:val="none" w:sz="0" w:space="0" w:color="auto"/>
            <w:bottom w:val="none" w:sz="0" w:space="0" w:color="auto"/>
            <w:right w:val="none" w:sz="0" w:space="0" w:color="auto"/>
          </w:divBdr>
          <w:divsChild>
            <w:div w:id="20583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3003">
      <w:bodyDiv w:val="1"/>
      <w:marLeft w:val="0"/>
      <w:marRight w:val="0"/>
      <w:marTop w:val="0"/>
      <w:marBottom w:val="0"/>
      <w:divBdr>
        <w:top w:val="none" w:sz="0" w:space="0" w:color="auto"/>
        <w:left w:val="none" w:sz="0" w:space="0" w:color="auto"/>
        <w:bottom w:val="none" w:sz="0" w:space="0" w:color="auto"/>
        <w:right w:val="none" w:sz="0" w:space="0" w:color="auto"/>
      </w:divBdr>
    </w:div>
    <w:div w:id="87435323">
      <w:bodyDiv w:val="1"/>
      <w:marLeft w:val="0"/>
      <w:marRight w:val="0"/>
      <w:marTop w:val="0"/>
      <w:marBottom w:val="0"/>
      <w:divBdr>
        <w:top w:val="none" w:sz="0" w:space="0" w:color="auto"/>
        <w:left w:val="none" w:sz="0" w:space="0" w:color="auto"/>
        <w:bottom w:val="none" w:sz="0" w:space="0" w:color="auto"/>
        <w:right w:val="none" w:sz="0" w:space="0" w:color="auto"/>
      </w:divBdr>
    </w:div>
    <w:div w:id="189926344">
      <w:bodyDiv w:val="1"/>
      <w:marLeft w:val="0"/>
      <w:marRight w:val="0"/>
      <w:marTop w:val="0"/>
      <w:marBottom w:val="0"/>
      <w:divBdr>
        <w:top w:val="none" w:sz="0" w:space="0" w:color="auto"/>
        <w:left w:val="none" w:sz="0" w:space="0" w:color="auto"/>
        <w:bottom w:val="none" w:sz="0" w:space="0" w:color="auto"/>
        <w:right w:val="none" w:sz="0" w:space="0" w:color="auto"/>
      </w:divBdr>
    </w:div>
    <w:div w:id="274023205">
      <w:bodyDiv w:val="1"/>
      <w:marLeft w:val="0"/>
      <w:marRight w:val="0"/>
      <w:marTop w:val="0"/>
      <w:marBottom w:val="0"/>
      <w:divBdr>
        <w:top w:val="none" w:sz="0" w:space="0" w:color="auto"/>
        <w:left w:val="none" w:sz="0" w:space="0" w:color="auto"/>
        <w:bottom w:val="none" w:sz="0" w:space="0" w:color="auto"/>
        <w:right w:val="none" w:sz="0" w:space="0" w:color="auto"/>
      </w:divBdr>
    </w:div>
    <w:div w:id="454063806">
      <w:bodyDiv w:val="1"/>
      <w:marLeft w:val="0"/>
      <w:marRight w:val="0"/>
      <w:marTop w:val="0"/>
      <w:marBottom w:val="0"/>
      <w:divBdr>
        <w:top w:val="none" w:sz="0" w:space="0" w:color="auto"/>
        <w:left w:val="none" w:sz="0" w:space="0" w:color="auto"/>
        <w:bottom w:val="none" w:sz="0" w:space="0" w:color="auto"/>
        <w:right w:val="none" w:sz="0" w:space="0" w:color="auto"/>
      </w:divBdr>
    </w:div>
    <w:div w:id="488442601">
      <w:bodyDiv w:val="1"/>
      <w:marLeft w:val="0"/>
      <w:marRight w:val="0"/>
      <w:marTop w:val="0"/>
      <w:marBottom w:val="0"/>
      <w:divBdr>
        <w:top w:val="none" w:sz="0" w:space="0" w:color="auto"/>
        <w:left w:val="none" w:sz="0" w:space="0" w:color="auto"/>
        <w:bottom w:val="none" w:sz="0" w:space="0" w:color="auto"/>
        <w:right w:val="none" w:sz="0" w:space="0" w:color="auto"/>
      </w:divBdr>
    </w:div>
    <w:div w:id="520781554">
      <w:bodyDiv w:val="1"/>
      <w:marLeft w:val="0"/>
      <w:marRight w:val="0"/>
      <w:marTop w:val="0"/>
      <w:marBottom w:val="0"/>
      <w:divBdr>
        <w:top w:val="none" w:sz="0" w:space="0" w:color="auto"/>
        <w:left w:val="none" w:sz="0" w:space="0" w:color="auto"/>
        <w:bottom w:val="none" w:sz="0" w:space="0" w:color="auto"/>
        <w:right w:val="none" w:sz="0" w:space="0" w:color="auto"/>
      </w:divBdr>
    </w:div>
    <w:div w:id="578296255">
      <w:bodyDiv w:val="1"/>
      <w:marLeft w:val="0"/>
      <w:marRight w:val="0"/>
      <w:marTop w:val="0"/>
      <w:marBottom w:val="0"/>
      <w:divBdr>
        <w:top w:val="none" w:sz="0" w:space="0" w:color="auto"/>
        <w:left w:val="none" w:sz="0" w:space="0" w:color="auto"/>
        <w:bottom w:val="none" w:sz="0" w:space="0" w:color="auto"/>
        <w:right w:val="none" w:sz="0" w:space="0" w:color="auto"/>
      </w:divBdr>
      <w:divsChild>
        <w:div w:id="145898290">
          <w:marLeft w:val="0"/>
          <w:marRight w:val="0"/>
          <w:marTop w:val="0"/>
          <w:marBottom w:val="0"/>
          <w:divBdr>
            <w:top w:val="none" w:sz="0" w:space="0" w:color="auto"/>
            <w:left w:val="none" w:sz="0" w:space="0" w:color="auto"/>
            <w:bottom w:val="none" w:sz="0" w:space="0" w:color="auto"/>
            <w:right w:val="none" w:sz="0" w:space="0" w:color="auto"/>
          </w:divBdr>
          <w:divsChild>
            <w:div w:id="524178405">
              <w:marLeft w:val="0"/>
              <w:marRight w:val="0"/>
              <w:marTop w:val="0"/>
              <w:marBottom w:val="0"/>
              <w:divBdr>
                <w:top w:val="none" w:sz="0" w:space="0" w:color="auto"/>
                <w:left w:val="none" w:sz="0" w:space="0" w:color="auto"/>
                <w:bottom w:val="none" w:sz="0" w:space="0" w:color="auto"/>
                <w:right w:val="none" w:sz="0" w:space="0" w:color="auto"/>
              </w:divBdr>
            </w:div>
          </w:divsChild>
        </w:div>
        <w:div w:id="624192961">
          <w:marLeft w:val="0"/>
          <w:marRight w:val="0"/>
          <w:marTop w:val="0"/>
          <w:marBottom w:val="0"/>
          <w:divBdr>
            <w:top w:val="none" w:sz="0" w:space="0" w:color="auto"/>
            <w:left w:val="none" w:sz="0" w:space="0" w:color="auto"/>
            <w:bottom w:val="none" w:sz="0" w:space="0" w:color="auto"/>
            <w:right w:val="none" w:sz="0" w:space="0" w:color="auto"/>
          </w:divBdr>
          <w:divsChild>
            <w:div w:id="8945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4322">
      <w:bodyDiv w:val="1"/>
      <w:marLeft w:val="0"/>
      <w:marRight w:val="0"/>
      <w:marTop w:val="0"/>
      <w:marBottom w:val="0"/>
      <w:divBdr>
        <w:top w:val="none" w:sz="0" w:space="0" w:color="auto"/>
        <w:left w:val="none" w:sz="0" w:space="0" w:color="auto"/>
        <w:bottom w:val="none" w:sz="0" w:space="0" w:color="auto"/>
        <w:right w:val="none" w:sz="0" w:space="0" w:color="auto"/>
      </w:divBdr>
    </w:div>
    <w:div w:id="852954516">
      <w:bodyDiv w:val="1"/>
      <w:marLeft w:val="0"/>
      <w:marRight w:val="0"/>
      <w:marTop w:val="0"/>
      <w:marBottom w:val="0"/>
      <w:divBdr>
        <w:top w:val="none" w:sz="0" w:space="0" w:color="auto"/>
        <w:left w:val="none" w:sz="0" w:space="0" w:color="auto"/>
        <w:bottom w:val="none" w:sz="0" w:space="0" w:color="auto"/>
        <w:right w:val="none" w:sz="0" w:space="0" w:color="auto"/>
      </w:divBdr>
    </w:div>
    <w:div w:id="896865753">
      <w:bodyDiv w:val="1"/>
      <w:marLeft w:val="0"/>
      <w:marRight w:val="0"/>
      <w:marTop w:val="0"/>
      <w:marBottom w:val="0"/>
      <w:divBdr>
        <w:top w:val="none" w:sz="0" w:space="0" w:color="auto"/>
        <w:left w:val="none" w:sz="0" w:space="0" w:color="auto"/>
        <w:bottom w:val="none" w:sz="0" w:space="0" w:color="auto"/>
        <w:right w:val="none" w:sz="0" w:space="0" w:color="auto"/>
      </w:divBdr>
    </w:div>
    <w:div w:id="1154758372">
      <w:bodyDiv w:val="1"/>
      <w:marLeft w:val="0"/>
      <w:marRight w:val="0"/>
      <w:marTop w:val="0"/>
      <w:marBottom w:val="0"/>
      <w:divBdr>
        <w:top w:val="none" w:sz="0" w:space="0" w:color="auto"/>
        <w:left w:val="none" w:sz="0" w:space="0" w:color="auto"/>
        <w:bottom w:val="none" w:sz="0" w:space="0" w:color="auto"/>
        <w:right w:val="none" w:sz="0" w:space="0" w:color="auto"/>
      </w:divBdr>
    </w:div>
    <w:div w:id="1155292392">
      <w:bodyDiv w:val="1"/>
      <w:marLeft w:val="0"/>
      <w:marRight w:val="0"/>
      <w:marTop w:val="0"/>
      <w:marBottom w:val="0"/>
      <w:divBdr>
        <w:top w:val="none" w:sz="0" w:space="0" w:color="auto"/>
        <w:left w:val="none" w:sz="0" w:space="0" w:color="auto"/>
        <w:bottom w:val="none" w:sz="0" w:space="0" w:color="auto"/>
        <w:right w:val="none" w:sz="0" w:space="0" w:color="auto"/>
      </w:divBdr>
    </w:div>
    <w:div w:id="1293898088">
      <w:bodyDiv w:val="1"/>
      <w:marLeft w:val="0"/>
      <w:marRight w:val="0"/>
      <w:marTop w:val="0"/>
      <w:marBottom w:val="0"/>
      <w:divBdr>
        <w:top w:val="none" w:sz="0" w:space="0" w:color="auto"/>
        <w:left w:val="none" w:sz="0" w:space="0" w:color="auto"/>
        <w:bottom w:val="none" w:sz="0" w:space="0" w:color="auto"/>
        <w:right w:val="none" w:sz="0" w:space="0" w:color="auto"/>
      </w:divBdr>
    </w:div>
    <w:div w:id="1390691195">
      <w:bodyDiv w:val="1"/>
      <w:marLeft w:val="0"/>
      <w:marRight w:val="0"/>
      <w:marTop w:val="0"/>
      <w:marBottom w:val="0"/>
      <w:divBdr>
        <w:top w:val="none" w:sz="0" w:space="0" w:color="auto"/>
        <w:left w:val="none" w:sz="0" w:space="0" w:color="auto"/>
        <w:bottom w:val="none" w:sz="0" w:space="0" w:color="auto"/>
        <w:right w:val="none" w:sz="0" w:space="0" w:color="auto"/>
      </w:divBdr>
    </w:div>
    <w:div w:id="1455827129">
      <w:bodyDiv w:val="1"/>
      <w:marLeft w:val="0"/>
      <w:marRight w:val="0"/>
      <w:marTop w:val="0"/>
      <w:marBottom w:val="0"/>
      <w:divBdr>
        <w:top w:val="none" w:sz="0" w:space="0" w:color="auto"/>
        <w:left w:val="none" w:sz="0" w:space="0" w:color="auto"/>
        <w:bottom w:val="none" w:sz="0" w:space="0" w:color="auto"/>
        <w:right w:val="none" w:sz="0" w:space="0" w:color="auto"/>
      </w:divBdr>
    </w:div>
    <w:div w:id="1460220687">
      <w:bodyDiv w:val="1"/>
      <w:marLeft w:val="0"/>
      <w:marRight w:val="0"/>
      <w:marTop w:val="0"/>
      <w:marBottom w:val="0"/>
      <w:divBdr>
        <w:top w:val="none" w:sz="0" w:space="0" w:color="auto"/>
        <w:left w:val="none" w:sz="0" w:space="0" w:color="auto"/>
        <w:bottom w:val="none" w:sz="0" w:space="0" w:color="auto"/>
        <w:right w:val="none" w:sz="0" w:space="0" w:color="auto"/>
      </w:divBdr>
    </w:div>
    <w:div w:id="1485465788">
      <w:bodyDiv w:val="1"/>
      <w:marLeft w:val="0"/>
      <w:marRight w:val="0"/>
      <w:marTop w:val="0"/>
      <w:marBottom w:val="0"/>
      <w:divBdr>
        <w:top w:val="none" w:sz="0" w:space="0" w:color="auto"/>
        <w:left w:val="none" w:sz="0" w:space="0" w:color="auto"/>
        <w:bottom w:val="none" w:sz="0" w:space="0" w:color="auto"/>
        <w:right w:val="none" w:sz="0" w:space="0" w:color="auto"/>
      </w:divBdr>
    </w:div>
    <w:div w:id="1488129468">
      <w:bodyDiv w:val="1"/>
      <w:marLeft w:val="0"/>
      <w:marRight w:val="0"/>
      <w:marTop w:val="0"/>
      <w:marBottom w:val="0"/>
      <w:divBdr>
        <w:top w:val="none" w:sz="0" w:space="0" w:color="auto"/>
        <w:left w:val="none" w:sz="0" w:space="0" w:color="auto"/>
        <w:bottom w:val="none" w:sz="0" w:space="0" w:color="auto"/>
        <w:right w:val="none" w:sz="0" w:space="0" w:color="auto"/>
      </w:divBdr>
    </w:div>
    <w:div w:id="1518155254">
      <w:bodyDiv w:val="1"/>
      <w:marLeft w:val="0"/>
      <w:marRight w:val="0"/>
      <w:marTop w:val="0"/>
      <w:marBottom w:val="0"/>
      <w:divBdr>
        <w:top w:val="none" w:sz="0" w:space="0" w:color="auto"/>
        <w:left w:val="none" w:sz="0" w:space="0" w:color="auto"/>
        <w:bottom w:val="none" w:sz="0" w:space="0" w:color="auto"/>
        <w:right w:val="none" w:sz="0" w:space="0" w:color="auto"/>
      </w:divBdr>
    </w:div>
    <w:div w:id="1548565207">
      <w:bodyDiv w:val="1"/>
      <w:marLeft w:val="0"/>
      <w:marRight w:val="0"/>
      <w:marTop w:val="0"/>
      <w:marBottom w:val="0"/>
      <w:divBdr>
        <w:top w:val="none" w:sz="0" w:space="0" w:color="auto"/>
        <w:left w:val="none" w:sz="0" w:space="0" w:color="auto"/>
        <w:bottom w:val="none" w:sz="0" w:space="0" w:color="auto"/>
        <w:right w:val="none" w:sz="0" w:space="0" w:color="auto"/>
      </w:divBdr>
    </w:div>
    <w:div w:id="1812819603">
      <w:bodyDiv w:val="1"/>
      <w:marLeft w:val="0"/>
      <w:marRight w:val="0"/>
      <w:marTop w:val="0"/>
      <w:marBottom w:val="0"/>
      <w:divBdr>
        <w:top w:val="none" w:sz="0" w:space="0" w:color="auto"/>
        <w:left w:val="none" w:sz="0" w:space="0" w:color="auto"/>
        <w:bottom w:val="none" w:sz="0" w:space="0" w:color="auto"/>
        <w:right w:val="none" w:sz="0" w:space="0" w:color="auto"/>
      </w:divBdr>
    </w:div>
    <w:div w:id="1910187077">
      <w:bodyDiv w:val="1"/>
      <w:marLeft w:val="0"/>
      <w:marRight w:val="0"/>
      <w:marTop w:val="0"/>
      <w:marBottom w:val="0"/>
      <w:divBdr>
        <w:top w:val="none" w:sz="0" w:space="0" w:color="auto"/>
        <w:left w:val="none" w:sz="0" w:space="0" w:color="auto"/>
        <w:bottom w:val="none" w:sz="0" w:space="0" w:color="auto"/>
        <w:right w:val="none" w:sz="0" w:space="0" w:color="auto"/>
      </w:divBdr>
    </w:div>
    <w:div w:id="1931698190">
      <w:bodyDiv w:val="1"/>
      <w:marLeft w:val="0"/>
      <w:marRight w:val="0"/>
      <w:marTop w:val="0"/>
      <w:marBottom w:val="0"/>
      <w:divBdr>
        <w:top w:val="none" w:sz="0" w:space="0" w:color="auto"/>
        <w:left w:val="none" w:sz="0" w:space="0" w:color="auto"/>
        <w:bottom w:val="none" w:sz="0" w:space="0" w:color="auto"/>
        <w:right w:val="none" w:sz="0" w:space="0" w:color="auto"/>
      </w:divBdr>
    </w:div>
    <w:div w:id="2026979723">
      <w:bodyDiv w:val="1"/>
      <w:marLeft w:val="0"/>
      <w:marRight w:val="0"/>
      <w:marTop w:val="0"/>
      <w:marBottom w:val="0"/>
      <w:divBdr>
        <w:top w:val="none" w:sz="0" w:space="0" w:color="auto"/>
        <w:left w:val="none" w:sz="0" w:space="0" w:color="auto"/>
        <w:bottom w:val="none" w:sz="0" w:space="0" w:color="auto"/>
        <w:right w:val="none" w:sz="0" w:space="0" w:color="auto"/>
      </w:divBdr>
    </w:div>
    <w:div w:id="2067142219">
      <w:bodyDiv w:val="1"/>
      <w:marLeft w:val="0"/>
      <w:marRight w:val="0"/>
      <w:marTop w:val="0"/>
      <w:marBottom w:val="0"/>
      <w:divBdr>
        <w:top w:val="none" w:sz="0" w:space="0" w:color="auto"/>
        <w:left w:val="none" w:sz="0" w:space="0" w:color="auto"/>
        <w:bottom w:val="none" w:sz="0" w:space="0" w:color="auto"/>
        <w:right w:val="none" w:sz="0" w:space="0" w:color="auto"/>
      </w:divBdr>
    </w:div>
    <w:div w:id="2070110112">
      <w:bodyDiv w:val="1"/>
      <w:marLeft w:val="0"/>
      <w:marRight w:val="0"/>
      <w:marTop w:val="0"/>
      <w:marBottom w:val="0"/>
      <w:divBdr>
        <w:top w:val="none" w:sz="0" w:space="0" w:color="auto"/>
        <w:left w:val="none" w:sz="0" w:space="0" w:color="auto"/>
        <w:bottom w:val="none" w:sz="0" w:space="0" w:color="auto"/>
        <w:right w:val="none" w:sz="0" w:space="0" w:color="auto"/>
      </w:divBdr>
    </w:div>
    <w:div w:id="2129002609">
      <w:bodyDiv w:val="1"/>
      <w:marLeft w:val="0"/>
      <w:marRight w:val="0"/>
      <w:marTop w:val="0"/>
      <w:marBottom w:val="0"/>
      <w:divBdr>
        <w:top w:val="none" w:sz="0" w:space="0" w:color="auto"/>
        <w:left w:val="none" w:sz="0" w:space="0" w:color="auto"/>
        <w:bottom w:val="none" w:sz="0" w:space="0" w:color="auto"/>
        <w:right w:val="none" w:sz="0" w:space="0" w:color="auto"/>
      </w:divBdr>
    </w:div>
    <w:div w:id="213394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hart" Target="charts/chart1.xml" Id="rId8" /><Relationship Type="http://schemas.openxmlformats.org/officeDocument/2006/relationships/chart" Target="charts/chart6.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hart" Target="charts/chart5.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hart" Target="charts/chart4.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chart" Target="charts/chart3.xm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chart" Target="charts/chart2.xml" Id="rId9" /><Relationship Type="http://schemas.openxmlformats.org/officeDocument/2006/relationships/header" Target="header1.xml" Id="rId14" /></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ACUE DFQ</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Sheet2!$B$1:$B$2</c:f>
              <c:strCache>
                <c:ptCount val="2"/>
                <c:pt idx="0">
                  <c:v>Non-ACUE</c:v>
                </c:pt>
                <c:pt idx="1">
                  <c:v>M</c:v>
                </c:pt>
              </c:strCache>
            </c:strRef>
          </c:tx>
          <c:spPr>
            <a:solidFill>
              <a:schemeClr val="accent1"/>
            </a:solidFill>
            <a:ln>
              <a:noFill/>
            </a:ln>
            <a:effectLst/>
          </c:spPr>
          <c:invertIfNegative val="0"/>
          <c:cat>
            <c:strRef>
              <c:f>Sheet2!$A$3:$A$9</c:f>
              <c:strCache>
                <c:ptCount val="7"/>
                <c:pt idx="0">
                  <c:v>Arts and Media</c:v>
                </c:pt>
                <c:pt idx="1">
                  <c:v>Business Administration</c:v>
                </c:pt>
                <c:pt idx="2">
                  <c:v>Criminal Justice</c:v>
                </c:pt>
                <c:pt idx="3">
                  <c:v>Education</c:v>
                </c:pt>
                <c:pt idx="4">
                  <c:v>Health Sciences</c:v>
                </c:pt>
                <c:pt idx="5">
                  <c:v>Humanities and Social Sciences</c:v>
                </c:pt>
                <c:pt idx="6">
                  <c:v>Science and Engineering Technology</c:v>
                </c:pt>
              </c:strCache>
            </c:strRef>
          </c:cat>
          <c:val>
            <c:numRef>
              <c:f>Sheet2!$B$3:$B$9</c:f>
              <c:numCache>
                <c:formatCode>0.00%</c:formatCode>
                <c:ptCount val="7"/>
                <c:pt idx="0">
                  <c:v>9.3899999999999997E-2</c:v>
                </c:pt>
                <c:pt idx="1">
                  <c:v>0.13669999999999999</c:v>
                </c:pt>
                <c:pt idx="2">
                  <c:v>9.3799999999999994E-2</c:v>
                </c:pt>
                <c:pt idx="3">
                  <c:v>2.98E-2</c:v>
                </c:pt>
                <c:pt idx="4">
                  <c:v>7.17E-2</c:v>
                </c:pt>
                <c:pt idx="5">
                  <c:v>0.16120000000000001</c:v>
                </c:pt>
                <c:pt idx="6">
                  <c:v>0.245</c:v>
                </c:pt>
              </c:numCache>
            </c:numRef>
          </c:val>
          <c:extLst>
            <c:ext xmlns:c16="http://schemas.microsoft.com/office/drawing/2014/chart" uri="{C3380CC4-5D6E-409C-BE32-E72D297353CC}">
              <c16:uniqueId val="{00000000-8A0E-4F33-8FBC-E6C3B35DDA6E}"/>
            </c:ext>
          </c:extLst>
        </c:ser>
        <c:ser>
          <c:idx val="1"/>
          <c:order val="1"/>
          <c:tx>
            <c:strRef>
              <c:f>Sheet2!$D$1:$D$2</c:f>
              <c:strCache>
                <c:ptCount val="2"/>
                <c:pt idx="0">
                  <c:v>Non-ACUE</c:v>
                </c:pt>
                <c:pt idx="1">
                  <c:v>M</c:v>
                </c:pt>
              </c:strCache>
            </c:strRef>
          </c:tx>
          <c:spPr>
            <a:solidFill>
              <a:schemeClr val="accent2"/>
            </a:solidFill>
            <a:ln>
              <a:noFill/>
            </a:ln>
            <a:effectLst/>
          </c:spPr>
          <c:invertIfNegative val="0"/>
          <c:cat>
            <c:strRef>
              <c:f>Sheet2!$A$3:$A$9</c:f>
              <c:strCache>
                <c:ptCount val="7"/>
                <c:pt idx="0">
                  <c:v>Arts and Media</c:v>
                </c:pt>
                <c:pt idx="1">
                  <c:v>Business Administration</c:v>
                </c:pt>
                <c:pt idx="2">
                  <c:v>Criminal Justice</c:v>
                </c:pt>
                <c:pt idx="3">
                  <c:v>Education</c:v>
                </c:pt>
                <c:pt idx="4">
                  <c:v>Health Sciences</c:v>
                </c:pt>
                <c:pt idx="5">
                  <c:v>Humanities and Social Sciences</c:v>
                </c:pt>
                <c:pt idx="6">
                  <c:v>Science and Engineering Technology</c:v>
                </c:pt>
              </c:strCache>
            </c:strRef>
          </c:cat>
          <c:val>
            <c:numRef>
              <c:f>Sheet2!$D$3:$D$9</c:f>
              <c:numCache>
                <c:formatCode>0.00%</c:formatCode>
                <c:ptCount val="7"/>
                <c:pt idx="0">
                  <c:v>8.9499999999999996E-2</c:v>
                </c:pt>
                <c:pt idx="1">
                  <c:v>0.127</c:v>
                </c:pt>
                <c:pt idx="2">
                  <c:v>8.2699999999999996E-2</c:v>
                </c:pt>
                <c:pt idx="3">
                  <c:v>2.3300000000000001E-2</c:v>
                </c:pt>
                <c:pt idx="4">
                  <c:v>8.4699999999999998E-2</c:v>
                </c:pt>
                <c:pt idx="5">
                  <c:v>0.14829999999999999</c:v>
                </c:pt>
                <c:pt idx="6">
                  <c:v>0.21779999999999999</c:v>
                </c:pt>
              </c:numCache>
            </c:numRef>
          </c:val>
          <c:extLst>
            <c:ext xmlns:c16="http://schemas.microsoft.com/office/drawing/2014/chart" uri="{C3380CC4-5D6E-409C-BE32-E72D297353CC}">
              <c16:uniqueId val="{00000001-8A0E-4F33-8FBC-E6C3B35DDA6E}"/>
            </c:ext>
          </c:extLst>
        </c:ser>
        <c:dLbls>
          <c:showLegendKey val="0"/>
          <c:showVal val="0"/>
          <c:showCatName val="0"/>
          <c:showSerName val="0"/>
          <c:showPercent val="0"/>
          <c:showBubbleSize val="0"/>
        </c:dLbls>
        <c:gapWidth val="219"/>
        <c:overlap val="-27"/>
        <c:axId val="1281258000"/>
        <c:axId val="1281281520"/>
      </c:barChart>
      <c:catAx>
        <c:axId val="1281258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1281520"/>
        <c:crosses val="autoZero"/>
        <c:auto val="1"/>
        <c:lblAlgn val="ctr"/>
        <c:lblOffset val="100"/>
        <c:noMultiLvlLbl val="0"/>
      </c:catAx>
      <c:valAx>
        <c:axId val="12812815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1258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ACUE Excellent Teacher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Sheet3!$B$1:$B$2</c:f>
              <c:strCache>
                <c:ptCount val="2"/>
                <c:pt idx="0">
                  <c:v>Non-ACUE</c:v>
                </c:pt>
                <c:pt idx="1">
                  <c:v>M</c:v>
                </c:pt>
              </c:strCache>
            </c:strRef>
          </c:tx>
          <c:spPr>
            <a:solidFill>
              <a:schemeClr val="accent1"/>
            </a:solidFill>
            <a:ln>
              <a:noFill/>
            </a:ln>
            <a:effectLst/>
          </c:spPr>
          <c:invertIfNegative val="0"/>
          <c:cat>
            <c:strRef>
              <c:f>Sheet3!$A$3:$A$9</c:f>
              <c:strCache>
                <c:ptCount val="7"/>
                <c:pt idx="0">
                  <c:v>Arts and Media</c:v>
                </c:pt>
                <c:pt idx="1">
                  <c:v>Business Administration</c:v>
                </c:pt>
                <c:pt idx="2">
                  <c:v>Criminal Justice</c:v>
                </c:pt>
                <c:pt idx="3">
                  <c:v>Education</c:v>
                </c:pt>
                <c:pt idx="4">
                  <c:v>Health Sciences</c:v>
                </c:pt>
                <c:pt idx="5">
                  <c:v>Humanities and Social Sciences</c:v>
                </c:pt>
                <c:pt idx="6">
                  <c:v>Science and Engineering Technology</c:v>
                </c:pt>
              </c:strCache>
            </c:strRef>
          </c:cat>
          <c:val>
            <c:numRef>
              <c:f>Sheet3!$B$3:$B$9</c:f>
              <c:numCache>
                <c:formatCode>General</c:formatCode>
                <c:ptCount val="7"/>
                <c:pt idx="0">
                  <c:v>4.4287000000000001</c:v>
                </c:pt>
                <c:pt idx="1">
                  <c:v>4.3053999999999997</c:v>
                </c:pt>
                <c:pt idx="2">
                  <c:v>4.4339000000000004</c:v>
                </c:pt>
                <c:pt idx="3">
                  <c:v>4.4880000000000004</c:v>
                </c:pt>
                <c:pt idx="4">
                  <c:v>4.3486000000000002</c:v>
                </c:pt>
                <c:pt idx="5">
                  <c:v>4.3647999999999998</c:v>
                </c:pt>
                <c:pt idx="6">
                  <c:v>4.0153999999999996</c:v>
                </c:pt>
              </c:numCache>
            </c:numRef>
          </c:val>
          <c:extLst>
            <c:ext xmlns:c16="http://schemas.microsoft.com/office/drawing/2014/chart" uri="{C3380CC4-5D6E-409C-BE32-E72D297353CC}">
              <c16:uniqueId val="{00000000-62FB-47F2-BAFF-39FD7BDCBE2D}"/>
            </c:ext>
          </c:extLst>
        </c:ser>
        <c:ser>
          <c:idx val="1"/>
          <c:order val="1"/>
          <c:tx>
            <c:strRef>
              <c:f>Sheet3!$D$1:$D$2</c:f>
              <c:strCache>
                <c:ptCount val="2"/>
                <c:pt idx="0">
                  <c:v>ACUE</c:v>
                </c:pt>
                <c:pt idx="1">
                  <c:v>M</c:v>
                </c:pt>
              </c:strCache>
            </c:strRef>
          </c:tx>
          <c:spPr>
            <a:solidFill>
              <a:schemeClr val="accent2"/>
            </a:solidFill>
            <a:ln>
              <a:noFill/>
            </a:ln>
            <a:effectLst/>
          </c:spPr>
          <c:invertIfNegative val="0"/>
          <c:cat>
            <c:strRef>
              <c:f>Sheet3!$A$3:$A$9</c:f>
              <c:strCache>
                <c:ptCount val="7"/>
                <c:pt idx="0">
                  <c:v>Arts and Media</c:v>
                </c:pt>
                <c:pt idx="1">
                  <c:v>Business Administration</c:v>
                </c:pt>
                <c:pt idx="2">
                  <c:v>Criminal Justice</c:v>
                </c:pt>
                <c:pt idx="3">
                  <c:v>Education</c:v>
                </c:pt>
                <c:pt idx="4">
                  <c:v>Health Sciences</c:v>
                </c:pt>
                <c:pt idx="5">
                  <c:v>Humanities and Social Sciences</c:v>
                </c:pt>
                <c:pt idx="6">
                  <c:v>Science and Engineering Technology</c:v>
                </c:pt>
              </c:strCache>
            </c:strRef>
          </c:cat>
          <c:val>
            <c:numRef>
              <c:f>Sheet3!$D$3:$D$9</c:f>
              <c:numCache>
                <c:formatCode>General</c:formatCode>
                <c:ptCount val="7"/>
                <c:pt idx="0">
                  <c:v>4.6584000000000003</c:v>
                </c:pt>
                <c:pt idx="1">
                  <c:v>4.3761999999999999</c:v>
                </c:pt>
                <c:pt idx="2">
                  <c:v>4.5461</c:v>
                </c:pt>
                <c:pt idx="3">
                  <c:v>4.6694000000000004</c:v>
                </c:pt>
                <c:pt idx="4">
                  <c:v>4.3207000000000004</c:v>
                </c:pt>
                <c:pt idx="5">
                  <c:v>4.3598999999999997</c:v>
                </c:pt>
                <c:pt idx="6">
                  <c:v>4.4322999999999997</c:v>
                </c:pt>
              </c:numCache>
            </c:numRef>
          </c:val>
          <c:extLst>
            <c:ext xmlns:c16="http://schemas.microsoft.com/office/drawing/2014/chart" uri="{C3380CC4-5D6E-409C-BE32-E72D297353CC}">
              <c16:uniqueId val="{00000001-62FB-47F2-BAFF-39FD7BDCBE2D}"/>
            </c:ext>
          </c:extLst>
        </c:ser>
        <c:dLbls>
          <c:showLegendKey val="0"/>
          <c:showVal val="0"/>
          <c:showCatName val="0"/>
          <c:showSerName val="0"/>
          <c:showPercent val="0"/>
          <c:showBubbleSize val="0"/>
        </c:dLbls>
        <c:gapWidth val="219"/>
        <c:overlap val="-27"/>
        <c:axId val="1281174960"/>
        <c:axId val="1281172080"/>
      </c:barChart>
      <c:catAx>
        <c:axId val="1281174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1172080"/>
        <c:crosses val="autoZero"/>
        <c:auto val="1"/>
        <c:lblAlgn val="ctr"/>
        <c:lblOffset val="100"/>
        <c:noMultiLvlLbl val="0"/>
      </c:catAx>
      <c:valAx>
        <c:axId val="1281172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1174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EE DFQ Rate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Sheet1!$L$1:$L$2</c:f>
              <c:strCache>
                <c:ptCount val="2"/>
                <c:pt idx="0">
                  <c:v>Non-EE</c:v>
                </c:pt>
                <c:pt idx="1">
                  <c:v>M</c:v>
                </c:pt>
              </c:strCache>
            </c:strRef>
          </c:tx>
          <c:spPr>
            <a:solidFill>
              <a:schemeClr val="accent1"/>
            </a:solidFill>
            <a:ln>
              <a:noFill/>
            </a:ln>
            <a:effectLst/>
          </c:spPr>
          <c:invertIfNegative val="0"/>
          <c:cat>
            <c:strRef>
              <c:f>Sheet1!$K$3:$K$9</c:f>
              <c:strCache>
                <c:ptCount val="7"/>
                <c:pt idx="0">
                  <c:v>Arts and Media</c:v>
                </c:pt>
                <c:pt idx="1">
                  <c:v>Business Administration</c:v>
                </c:pt>
                <c:pt idx="2">
                  <c:v>Criminal Justice</c:v>
                </c:pt>
                <c:pt idx="3">
                  <c:v>Education</c:v>
                </c:pt>
                <c:pt idx="4">
                  <c:v>Health Sciences</c:v>
                </c:pt>
                <c:pt idx="5">
                  <c:v>Humanities and Social Sciences</c:v>
                </c:pt>
                <c:pt idx="6">
                  <c:v>Science and Engineering Technology</c:v>
                </c:pt>
              </c:strCache>
            </c:strRef>
          </c:cat>
          <c:val>
            <c:numRef>
              <c:f>Sheet1!$L$3:$L$9</c:f>
              <c:numCache>
                <c:formatCode>0.00%</c:formatCode>
                <c:ptCount val="7"/>
                <c:pt idx="0">
                  <c:v>0.10730000000000001</c:v>
                </c:pt>
                <c:pt idx="1">
                  <c:v>0.16209999999999999</c:v>
                </c:pt>
                <c:pt idx="2">
                  <c:v>0.1023</c:v>
                </c:pt>
                <c:pt idx="3">
                  <c:v>3.5499999999999997E-2</c:v>
                </c:pt>
                <c:pt idx="4">
                  <c:v>8.6499999999999994E-2</c:v>
                </c:pt>
                <c:pt idx="5">
                  <c:v>0.17199999999999999</c:v>
                </c:pt>
                <c:pt idx="6">
                  <c:v>0.25309999999999999</c:v>
                </c:pt>
              </c:numCache>
            </c:numRef>
          </c:val>
          <c:extLst>
            <c:ext xmlns:c16="http://schemas.microsoft.com/office/drawing/2014/chart" uri="{C3380CC4-5D6E-409C-BE32-E72D297353CC}">
              <c16:uniqueId val="{00000000-1EA0-4D6F-A16D-70FC6FD6EA44}"/>
            </c:ext>
          </c:extLst>
        </c:ser>
        <c:ser>
          <c:idx val="1"/>
          <c:order val="1"/>
          <c:tx>
            <c:strRef>
              <c:f>Sheet1!$N$1:$N$2</c:f>
              <c:strCache>
                <c:ptCount val="2"/>
                <c:pt idx="0">
                  <c:v>EE</c:v>
                </c:pt>
                <c:pt idx="1">
                  <c:v>M</c:v>
                </c:pt>
              </c:strCache>
            </c:strRef>
          </c:tx>
          <c:spPr>
            <a:solidFill>
              <a:schemeClr val="accent2"/>
            </a:solidFill>
            <a:ln>
              <a:noFill/>
            </a:ln>
            <a:effectLst/>
          </c:spPr>
          <c:invertIfNegative val="0"/>
          <c:cat>
            <c:strRef>
              <c:f>Sheet1!$K$3:$K$9</c:f>
              <c:strCache>
                <c:ptCount val="7"/>
                <c:pt idx="0">
                  <c:v>Arts and Media</c:v>
                </c:pt>
                <c:pt idx="1">
                  <c:v>Business Administration</c:v>
                </c:pt>
                <c:pt idx="2">
                  <c:v>Criminal Justice</c:v>
                </c:pt>
                <c:pt idx="3">
                  <c:v>Education</c:v>
                </c:pt>
                <c:pt idx="4">
                  <c:v>Health Sciences</c:v>
                </c:pt>
                <c:pt idx="5">
                  <c:v>Humanities and Social Sciences</c:v>
                </c:pt>
                <c:pt idx="6">
                  <c:v>Science and Engineering Technology</c:v>
                </c:pt>
              </c:strCache>
            </c:strRef>
          </c:cat>
          <c:val>
            <c:numRef>
              <c:f>Sheet1!$N$3:$N$9</c:f>
              <c:numCache>
                <c:formatCode>0.00%</c:formatCode>
                <c:ptCount val="7"/>
                <c:pt idx="0">
                  <c:v>0.1077</c:v>
                </c:pt>
                <c:pt idx="1">
                  <c:v>0.11899999999999999</c:v>
                </c:pt>
                <c:pt idx="2">
                  <c:v>3.2800000000000003E-2</c:v>
                </c:pt>
                <c:pt idx="3">
                  <c:v>2.5600000000000001E-2</c:v>
                </c:pt>
                <c:pt idx="4">
                  <c:v>6.7100000000000007E-2</c:v>
                </c:pt>
                <c:pt idx="5">
                  <c:v>0.1472</c:v>
                </c:pt>
                <c:pt idx="6">
                  <c:v>0.22550000000000001</c:v>
                </c:pt>
              </c:numCache>
            </c:numRef>
          </c:val>
          <c:extLst>
            <c:ext xmlns:c16="http://schemas.microsoft.com/office/drawing/2014/chart" uri="{C3380CC4-5D6E-409C-BE32-E72D297353CC}">
              <c16:uniqueId val="{00000001-1EA0-4D6F-A16D-70FC6FD6EA44}"/>
            </c:ext>
          </c:extLst>
        </c:ser>
        <c:dLbls>
          <c:showLegendKey val="0"/>
          <c:showVal val="0"/>
          <c:showCatName val="0"/>
          <c:showSerName val="0"/>
          <c:showPercent val="0"/>
          <c:showBubbleSize val="0"/>
        </c:dLbls>
        <c:gapWidth val="219"/>
        <c:overlap val="-27"/>
        <c:axId val="1281225360"/>
        <c:axId val="1281225840"/>
      </c:barChart>
      <c:catAx>
        <c:axId val="1281225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1225840"/>
        <c:crosses val="autoZero"/>
        <c:auto val="1"/>
        <c:lblAlgn val="ctr"/>
        <c:lblOffset val="100"/>
        <c:noMultiLvlLbl val="0"/>
      </c:catAx>
      <c:valAx>
        <c:axId val="12812258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1225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EE Exellent</a:t>
            </a:r>
            <a:r>
              <a:rPr lang="en-US" baseline="0"/>
              <a:t> Teacher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Sheet1!$B$1:$B$2</c:f>
              <c:strCache>
                <c:ptCount val="2"/>
                <c:pt idx="0">
                  <c:v>Non-EE</c:v>
                </c:pt>
                <c:pt idx="1">
                  <c:v>M</c:v>
                </c:pt>
              </c:strCache>
            </c:strRef>
          </c:tx>
          <c:spPr>
            <a:solidFill>
              <a:schemeClr val="accent1"/>
            </a:solidFill>
            <a:ln>
              <a:noFill/>
            </a:ln>
            <a:effectLst/>
          </c:spPr>
          <c:invertIfNegative val="0"/>
          <c:cat>
            <c:strRef>
              <c:f>Sheet1!$A$3:$A$9</c:f>
              <c:strCache>
                <c:ptCount val="7"/>
                <c:pt idx="0">
                  <c:v>Arts and Media</c:v>
                </c:pt>
                <c:pt idx="1">
                  <c:v>Business Administration</c:v>
                </c:pt>
                <c:pt idx="2">
                  <c:v>Criminal Justice</c:v>
                </c:pt>
                <c:pt idx="3">
                  <c:v>Education</c:v>
                </c:pt>
                <c:pt idx="4">
                  <c:v>Health Sciences</c:v>
                </c:pt>
                <c:pt idx="5">
                  <c:v>Humanities and Social Sciences</c:v>
                </c:pt>
                <c:pt idx="6">
                  <c:v>Science and Engineering Technology</c:v>
                </c:pt>
              </c:strCache>
            </c:strRef>
          </c:cat>
          <c:val>
            <c:numRef>
              <c:f>Sheet1!$B$3:$B$9</c:f>
              <c:numCache>
                <c:formatCode>General</c:formatCode>
                <c:ptCount val="7"/>
                <c:pt idx="0">
                  <c:v>4.4015000000000004</c:v>
                </c:pt>
                <c:pt idx="1">
                  <c:v>4.3041</c:v>
                </c:pt>
                <c:pt idx="2">
                  <c:v>4.3506999999999998</c:v>
                </c:pt>
                <c:pt idx="3">
                  <c:v>4.4344000000000001</c:v>
                </c:pt>
                <c:pt idx="4">
                  <c:v>4.2709000000000001</c:v>
                </c:pt>
                <c:pt idx="5">
                  <c:v>4.3856000000000002</c:v>
                </c:pt>
                <c:pt idx="6">
                  <c:v>4.0972</c:v>
                </c:pt>
              </c:numCache>
            </c:numRef>
          </c:val>
          <c:extLst>
            <c:ext xmlns:c16="http://schemas.microsoft.com/office/drawing/2014/chart" uri="{C3380CC4-5D6E-409C-BE32-E72D297353CC}">
              <c16:uniqueId val="{00000000-00CC-43DE-904C-065DAC6ACE4A}"/>
            </c:ext>
          </c:extLst>
        </c:ser>
        <c:ser>
          <c:idx val="1"/>
          <c:order val="1"/>
          <c:tx>
            <c:strRef>
              <c:f>Sheet1!$D$1:$D$2</c:f>
              <c:strCache>
                <c:ptCount val="2"/>
                <c:pt idx="0">
                  <c:v>EE</c:v>
                </c:pt>
                <c:pt idx="1">
                  <c:v>M</c:v>
                </c:pt>
              </c:strCache>
            </c:strRef>
          </c:tx>
          <c:spPr>
            <a:solidFill>
              <a:schemeClr val="accent2"/>
            </a:solidFill>
            <a:ln>
              <a:noFill/>
            </a:ln>
            <a:effectLst/>
          </c:spPr>
          <c:invertIfNegative val="0"/>
          <c:cat>
            <c:strRef>
              <c:f>Sheet1!$A$3:$A$9</c:f>
              <c:strCache>
                <c:ptCount val="7"/>
                <c:pt idx="0">
                  <c:v>Arts and Media</c:v>
                </c:pt>
                <c:pt idx="1">
                  <c:v>Business Administration</c:v>
                </c:pt>
                <c:pt idx="2">
                  <c:v>Criminal Justice</c:v>
                </c:pt>
                <c:pt idx="3">
                  <c:v>Education</c:v>
                </c:pt>
                <c:pt idx="4">
                  <c:v>Health Sciences</c:v>
                </c:pt>
                <c:pt idx="5">
                  <c:v>Humanities and Social Sciences</c:v>
                </c:pt>
                <c:pt idx="6">
                  <c:v>Science and Engineering Technology</c:v>
                </c:pt>
              </c:strCache>
            </c:strRef>
          </c:cat>
          <c:val>
            <c:numRef>
              <c:f>Sheet1!$D$3:$D$9</c:f>
              <c:numCache>
                <c:formatCode>General</c:formatCode>
                <c:ptCount val="7"/>
                <c:pt idx="0">
                  <c:v>4.4333</c:v>
                </c:pt>
                <c:pt idx="1">
                  <c:v>4.2926000000000002</c:v>
                </c:pt>
                <c:pt idx="2">
                  <c:v>4.6139000000000001</c:v>
                </c:pt>
                <c:pt idx="3">
                  <c:v>4.4565000000000001</c:v>
                </c:pt>
                <c:pt idx="4">
                  <c:v>4.3841999999999999</c:v>
                </c:pt>
                <c:pt idx="5">
                  <c:v>4.3643000000000001</c:v>
                </c:pt>
                <c:pt idx="6">
                  <c:v>4.3091999999999997</c:v>
                </c:pt>
              </c:numCache>
            </c:numRef>
          </c:val>
          <c:extLst>
            <c:ext xmlns:c16="http://schemas.microsoft.com/office/drawing/2014/chart" uri="{C3380CC4-5D6E-409C-BE32-E72D297353CC}">
              <c16:uniqueId val="{00000001-00CC-43DE-904C-065DAC6ACE4A}"/>
            </c:ext>
          </c:extLst>
        </c:ser>
        <c:dLbls>
          <c:showLegendKey val="0"/>
          <c:showVal val="0"/>
          <c:showCatName val="0"/>
          <c:showSerName val="0"/>
          <c:showPercent val="0"/>
          <c:showBubbleSize val="0"/>
        </c:dLbls>
        <c:gapWidth val="219"/>
        <c:overlap val="-27"/>
        <c:axId val="1281175440"/>
        <c:axId val="1281180720"/>
      </c:barChart>
      <c:catAx>
        <c:axId val="1281175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1180720"/>
        <c:crosses val="autoZero"/>
        <c:auto val="1"/>
        <c:lblAlgn val="ctr"/>
        <c:lblOffset val="100"/>
        <c:noMultiLvlLbl val="0"/>
      </c:catAx>
      <c:valAx>
        <c:axId val="1281180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1175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TIG DFQ Rate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Sheet5!$B$1:$B$2</c:f>
              <c:strCache>
                <c:ptCount val="2"/>
                <c:pt idx="0">
                  <c:v>Non-TIG</c:v>
                </c:pt>
                <c:pt idx="1">
                  <c:v>M</c:v>
                </c:pt>
              </c:strCache>
            </c:strRef>
          </c:tx>
          <c:spPr>
            <a:solidFill>
              <a:schemeClr val="accent1"/>
            </a:solidFill>
            <a:ln>
              <a:noFill/>
            </a:ln>
            <a:effectLst/>
          </c:spPr>
          <c:invertIfNegative val="0"/>
          <c:cat>
            <c:strRef>
              <c:f>Sheet5!$A$3:$A$9</c:f>
              <c:strCache>
                <c:ptCount val="7"/>
                <c:pt idx="0">
                  <c:v>Arts and Media</c:v>
                </c:pt>
                <c:pt idx="1">
                  <c:v>Business Administration</c:v>
                </c:pt>
                <c:pt idx="2">
                  <c:v>Criminal Justice</c:v>
                </c:pt>
                <c:pt idx="3">
                  <c:v>Education</c:v>
                </c:pt>
                <c:pt idx="4">
                  <c:v>Health Sciences</c:v>
                </c:pt>
                <c:pt idx="5">
                  <c:v>Humanities and Social Sciences</c:v>
                </c:pt>
                <c:pt idx="6">
                  <c:v>Science and Engineering Technology</c:v>
                </c:pt>
              </c:strCache>
            </c:strRef>
          </c:cat>
          <c:val>
            <c:numRef>
              <c:f>Sheet5!$B$3:$B$9</c:f>
              <c:numCache>
                <c:formatCode>0.00%</c:formatCode>
                <c:ptCount val="7"/>
                <c:pt idx="0">
                  <c:v>7.1499999999999994E-2</c:v>
                </c:pt>
                <c:pt idx="1">
                  <c:v>0.1333</c:v>
                </c:pt>
                <c:pt idx="2">
                  <c:v>8.4500000000000006E-2</c:v>
                </c:pt>
                <c:pt idx="3">
                  <c:v>3.4000000000000002E-2</c:v>
                </c:pt>
                <c:pt idx="4">
                  <c:v>9.7299999999999998E-2</c:v>
                </c:pt>
                <c:pt idx="5">
                  <c:v>0.17599999999999999</c:v>
                </c:pt>
                <c:pt idx="6">
                  <c:v>0.24809999999999999</c:v>
                </c:pt>
              </c:numCache>
            </c:numRef>
          </c:val>
          <c:extLst>
            <c:ext xmlns:c16="http://schemas.microsoft.com/office/drawing/2014/chart" uri="{C3380CC4-5D6E-409C-BE32-E72D297353CC}">
              <c16:uniqueId val="{00000000-7508-43AA-8D11-7F027B63C722}"/>
            </c:ext>
          </c:extLst>
        </c:ser>
        <c:ser>
          <c:idx val="1"/>
          <c:order val="1"/>
          <c:tx>
            <c:strRef>
              <c:f>Sheet5!$D$1:$D$2</c:f>
              <c:strCache>
                <c:ptCount val="2"/>
                <c:pt idx="0">
                  <c:v>TIG</c:v>
                </c:pt>
                <c:pt idx="1">
                  <c:v>M</c:v>
                </c:pt>
              </c:strCache>
            </c:strRef>
          </c:tx>
          <c:spPr>
            <a:solidFill>
              <a:schemeClr val="accent2"/>
            </a:solidFill>
            <a:ln>
              <a:noFill/>
            </a:ln>
            <a:effectLst/>
          </c:spPr>
          <c:invertIfNegative val="0"/>
          <c:cat>
            <c:strRef>
              <c:f>Sheet5!$A$3:$A$9</c:f>
              <c:strCache>
                <c:ptCount val="7"/>
                <c:pt idx="0">
                  <c:v>Arts and Media</c:v>
                </c:pt>
                <c:pt idx="1">
                  <c:v>Business Administration</c:v>
                </c:pt>
                <c:pt idx="2">
                  <c:v>Criminal Justice</c:v>
                </c:pt>
                <c:pt idx="3">
                  <c:v>Education</c:v>
                </c:pt>
                <c:pt idx="4">
                  <c:v>Health Sciences</c:v>
                </c:pt>
                <c:pt idx="5">
                  <c:v>Humanities and Social Sciences</c:v>
                </c:pt>
                <c:pt idx="6">
                  <c:v>Science and Engineering Technology</c:v>
                </c:pt>
              </c:strCache>
            </c:strRef>
          </c:cat>
          <c:val>
            <c:numRef>
              <c:f>Sheet5!$D$3:$D$9</c:f>
              <c:numCache>
                <c:formatCode>0.00%</c:formatCode>
                <c:ptCount val="7"/>
                <c:pt idx="0">
                  <c:v>5.45E-2</c:v>
                </c:pt>
                <c:pt idx="1">
                  <c:v>0.12740000000000001</c:v>
                </c:pt>
                <c:pt idx="2">
                  <c:v>7.7200000000000005E-2</c:v>
                </c:pt>
                <c:pt idx="3">
                  <c:v>2.3300000000000001E-2</c:v>
                </c:pt>
                <c:pt idx="4">
                  <c:v>0.1404</c:v>
                </c:pt>
                <c:pt idx="5">
                  <c:v>0.1237</c:v>
                </c:pt>
                <c:pt idx="6">
                  <c:v>0.20610000000000001</c:v>
                </c:pt>
              </c:numCache>
            </c:numRef>
          </c:val>
          <c:extLst>
            <c:ext xmlns:c16="http://schemas.microsoft.com/office/drawing/2014/chart" uri="{C3380CC4-5D6E-409C-BE32-E72D297353CC}">
              <c16:uniqueId val="{00000001-7508-43AA-8D11-7F027B63C722}"/>
            </c:ext>
          </c:extLst>
        </c:ser>
        <c:dLbls>
          <c:showLegendKey val="0"/>
          <c:showVal val="0"/>
          <c:showCatName val="0"/>
          <c:showSerName val="0"/>
          <c:showPercent val="0"/>
          <c:showBubbleSize val="0"/>
        </c:dLbls>
        <c:gapWidth val="219"/>
        <c:overlap val="-27"/>
        <c:axId val="1281196080"/>
        <c:axId val="1281221520"/>
      </c:barChart>
      <c:catAx>
        <c:axId val="1281196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1221520"/>
        <c:crosses val="autoZero"/>
        <c:auto val="1"/>
        <c:lblAlgn val="ctr"/>
        <c:lblOffset val="100"/>
        <c:noMultiLvlLbl val="0"/>
      </c:catAx>
      <c:valAx>
        <c:axId val="12812215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1196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TIG Excellent Teacher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Sheet6!$B$1:$B$2</c:f>
              <c:strCache>
                <c:ptCount val="2"/>
                <c:pt idx="0">
                  <c:v>Non-TIG</c:v>
                </c:pt>
                <c:pt idx="1">
                  <c:v>M</c:v>
                </c:pt>
              </c:strCache>
            </c:strRef>
          </c:tx>
          <c:spPr>
            <a:solidFill>
              <a:schemeClr val="accent1"/>
            </a:solidFill>
            <a:ln>
              <a:noFill/>
            </a:ln>
            <a:effectLst/>
          </c:spPr>
          <c:invertIfNegative val="0"/>
          <c:cat>
            <c:strRef>
              <c:f>Sheet6!$A$3:$A$9</c:f>
              <c:strCache>
                <c:ptCount val="7"/>
                <c:pt idx="0">
                  <c:v>Arts and Media</c:v>
                </c:pt>
                <c:pt idx="1">
                  <c:v>Business Administration</c:v>
                </c:pt>
                <c:pt idx="2">
                  <c:v>Criminal Justice</c:v>
                </c:pt>
                <c:pt idx="3">
                  <c:v>Education</c:v>
                </c:pt>
                <c:pt idx="4">
                  <c:v>Health Sciences</c:v>
                </c:pt>
                <c:pt idx="5">
                  <c:v>Humanities and Social Sciences</c:v>
                </c:pt>
                <c:pt idx="6">
                  <c:v>Science and Engineering Technology</c:v>
                </c:pt>
              </c:strCache>
            </c:strRef>
          </c:cat>
          <c:val>
            <c:numRef>
              <c:f>Sheet6!$B$3:$B$9</c:f>
              <c:numCache>
                <c:formatCode>General</c:formatCode>
                <c:ptCount val="7"/>
                <c:pt idx="0">
                  <c:v>4.2995000000000001</c:v>
                </c:pt>
                <c:pt idx="1">
                  <c:v>4.1669</c:v>
                </c:pt>
                <c:pt idx="2">
                  <c:v>4.5105000000000004</c:v>
                </c:pt>
                <c:pt idx="3">
                  <c:v>4.4165000000000001</c:v>
                </c:pt>
                <c:pt idx="4">
                  <c:v>4.3746</c:v>
                </c:pt>
                <c:pt idx="5">
                  <c:v>4.2805999999999997</c:v>
                </c:pt>
                <c:pt idx="6">
                  <c:v>4.024</c:v>
                </c:pt>
              </c:numCache>
            </c:numRef>
          </c:val>
          <c:extLst>
            <c:ext xmlns:c16="http://schemas.microsoft.com/office/drawing/2014/chart" uri="{C3380CC4-5D6E-409C-BE32-E72D297353CC}">
              <c16:uniqueId val="{00000000-213A-4631-8EF5-67F39132C40E}"/>
            </c:ext>
          </c:extLst>
        </c:ser>
        <c:ser>
          <c:idx val="1"/>
          <c:order val="1"/>
          <c:tx>
            <c:strRef>
              <c:f>Sheet6!$D$1:$D$2</c:f>
              <c:strCache>
                <c:ptCount val="2"/>
                <c:pt idx="0">
                  <c:v>TIG</c:v>
                </c:pt>
                <c:pt idx="1">
                  <c:v>M</c:v>
                </c:pt>
              </c:strCache>
            </c:strRef>
          </c:tx>
          <c:spPr>
            <a:solidFill>
              <a:schemeClr val="accent2"/>
            </a:solidFill>
            <a:ln>
              <a:noFill/>
            </a:ln>
            <a:effectLst/>
          </c:spPr>
          <c:invertIfNegative val="0"/>
          <c:cat>
            <c:strRef>
              <c:f>Sheet6!$A$3:$A$9</c:f>
              <c:strCache>
                <c:ptCount val="7"/>
                <c:pt idx="0">
                  <c:v>Arts and Media</c:v>
                </c:pt>
                <c:pt idx="1">
                  <c:v>Business Administration</c:v>
                </c:pt>
                <c:pt idx="2">
                  <c:v>Criminal Justice</c:v>
                </c:pt>
                <c:pt idx="3">
                  <c:v>Education</c:v>
                </c:pt>
                <c:pt idx="4">
                  <c:v>Health Sciences</c:v>
                </c:pt>
                <c:pt idx="5">
                  <c:v>Humanities and Social Sciences</c:v>
                </c:pt>
                <c:pt idx="6">
                  <c:v>Science and Engineering Technology</c:v>
                </c:pt>
              </c:strCache>
            </c:strRef>
          </c:cat>
          <c:val>
            <c:numRef>
              <c:f>Sheet6!$D$3:$D$9</c:f>
              <c:numCache>
                <c:formatCode>General</c:formatCode>
                <c:ptCount val="7"/>
                <c:pt idx="0">
                  <c:v>4.5016999999999996</c:v>
                </c:pt>
                <c:pt idx="1">
                  <c:v>4.2557</c:v>
                </c:pt>
                <c:pt idx="2">
                  <c:v>4.4400000000000004</c:v>
                </c:pt>
                <c:pt idx="3">
                  <c:v>4.5053999999999998</c:v>
                </c:pt>
                <c:pt idx="4">
                  <c:v>4.3186</c:v>
                </c:pt>
                <c:pt idx="5">
                  <c:v>4.4353999999999996</c:v>
                </c:pt>
                <c:pt idx="6">
                  <c:v>4.2464000000000004</c:v>
                </c:pt>
              </c:numCache>
            </c:numRef>
          </c:val>
          <c:extLst>
            <c:ext xmlns:c16="http://schemas.microsoft.com/office/drawing/2014/chart" uri="{C3380CC4-5D6E-409C-BE32-E72D297353CC}">
              <c16:uniqueId val="{00000001-213A-4631-8EF5-67F39132C40E}"/>
            </c:ext>
          </c:extLst>
        </c:ser>
        <c:dLbls>
          <c:showLegendKey val="0"/>
          <c:showVal val="0"/>
          <c:showCatName val="0"/>
          <c:showSerName val="0"/>
          <c:showPercent val="0"/>
          <c:showBubbleSize val="0"/>
        </c:dLbls>
        <c:gapWidth val="219"/>
        <c:overlap val="-27"/>
        <c:axId val="1281221040"/>
        <c:axId val="1281199440"/>
      </c:barChart>
      <c:catAx>
        <c:axId val="1281221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1199440"/>
        <c:crosses val="autoZero"/>
        <c:auto val="1"/>
        <c:lblAlgn val="ctr"/>
        <c:lblOffset val="100"/>
        <c:noMultiLvlLbl val="0"/>
      </c:catAx>
      <c:valAx>
        <c:axId val="1281199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1221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E37641204AC94290C2BABFB44E215A" ma:contentTypeVersion="14" ma:contentTypeDescription="Create a new document." ma:contentTypeScope="" ma:versionID="dcf706e34325f114e7d6e5c0263b8f7c">
  <xsd:schema xmlns:xsd="http://www.w3.org/2001/XMLSchema" xmlns:xs="http://www.w3.org/2001/XMLSchema" xmlns:p="http://schemas.microsoft.com/office/2006/metadata/properties" xmlns:ns2="c38d8d1d-5696-4be9-aa35-e4e9fdf1d5ef" xmlns:ns3="dc47638b-fd59-44d8-86e2-44839e1dfa88" targetNamespace="http://schemas.microsoft.com/office/2006/metadata/properties" ma:root="true" ma:fieldsID="a7cacb1bbbe424174e5d54615b700071" ns2:_="" ns3:_="">
    <xsd:import namespace="c38d8d1d-5696-4be9-aa35-e4e9fdf1d5ef"/>
    <xsd:import namespace="dc47638b-fd59-44d8-86e2-44839e1dfa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d8d1d-5696-4be9-aa35-e4e9fdf1d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6462f-898c-4798-bfd2-dc9ea210d9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47638b-fd59-44d8-86e2-44839e1dfa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8530ab-5b8a-4982-97af-5ec87c202349}" ma:internalName="TaxCatchAll" ma:showField="CatchAllData" ma:web="dc47638b-fd59-44d8-86e2-44839e1dfa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8d8d1d-5696-4be9-aa35-e4e9fdf1d5ef">
      <Terms xmlns="http://schemas.microsoft.com/office/infopath/2007/PartnerControls"/>
    </lcf76f155ced4ddcb4097134ff3c332f>
    <TaxCatchAll xmlns="dc47638b-fd59-44d8-86e2-44839e1dfa88" xsi:nil="true"/>
  </documentManagement>
</p:properties>
</file>

<file path=customXml/itemProps1.xml><?xml version="1.0" encoding="utf-8"?>
<ds:datastoreItem xmlns:ds="http://schemas.openxmlformats.org/officeDocument/2006/customXml" ds:itemID="{0498F3BD-24E6-4E56-A9E2-A0A8DD9C5B63}">
  <ds:schemaRefs>
    <ds:schemaRef ds:uri="http://schemas.openxmlformats.org/officeDocument/2006/bibliography"/>
  </ds:schemaRefs>
</ds:datastoreItem>
</file>

<file path=customXml/itemProps2.xml><?xml version="1.0" encoding="utf-8"?>
<ds:datastoreItem xmlns:ds="http://schemas.openxmlformats.org/officeDocument/2006/customXml" ds:itemID="{5CE63415-D34E-4F25-B8E7-C7688E2147B8}"/>
</file>

<file path=customXml/itemProps3.xml><?xml version="1.0" encoding="utf-8"?>
<ds:datastoreItem xmlns:ds="http://schemas.openxmlformats.org/officeDocument/2006/customXml" ds:itemID="{DDAD1971-5BB4-44CE-A0E7-32D29BA5969B}"/>
</file>

<file path=customXml/itemProps4.xml><?xml version="1.0" encoding="utf-8"?>
<ds:datastoreItem xmlns:ds="http://schemas.openxmlformats.org/officeDocument/2006/customXml" ds:itemID="{57D78159-1FB8-4F5C-B37C-97CB21A4C53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Sam Houston State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Chase</dc:creator>
  <cp:keywords/>
  <dc:description/>
  <cp:lastModifiedBy>Young, Chase</cp:lastModifiedBy>
  <cp:revision>86</cp:revision>
  <dcterms:created xsi:type="dcterms:W3CDTF">2025-06-02T14:44:00Z</dcterms:created>
  <dcterms:modified xsi:type="dcterms:W3CDTF">2025-09-03T17:28:30Z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0x010100F5E37641204AC94290C2BABFB44E215A</vt:lpwstr>
  </property>
  <property fmtid="{D5CDD505-2E9C-101B-9397-08002B2CF9AE}" pid="3" name="MediaServiceImageTags">
    <vt:lpwstr/>
  </property>
</Properties>
</file>